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29834" w14:textId="67CC4C54" w:rsidR="00A458D2" w:rsidRPr="00664F73" w:rsidRDefault="005B1F28" w:rsidP="007D3825">
      <w:pPr>
        <w:widowControl w:val="0"/>
        <w:rPr>
          <w:rFonts w:asciiTheme="majorHAnsi" w:eastAsia="Times New Roman" w:hAnsiTheme="majorHAnsi" w:cs="Times New Roman"/>
          <w:sz w:val="40"/>
          <w:szCs w:val="40"/>
        </w:rPr>
      </w:pPr>
      <w:r>
        <w:rPr>
          <w:rFonts w:asciiTheme="majorHAnsi" w:hAnsiTheme="majorHAnsi"/>
          <w:sz w:val="40"/>
        </w:rPr>
        <w:t>E</w:t>
      </w:r>
      <w:r w:rsidR="00A458D2">
        <w:rPr>
          <w:rFonts w:asciiTheme="majorHAnsi" w:hAnsiTheme="majorHAnsi"/>
          <w:sz w:val="40"/>
        </w:rPr>
        <w:t>studo de caso</w:t>
      </w:r>
    </w:p>
    <w:p w14:paraId="0FE6D742" w14:textId="77777777" w:rsidR="004B251E" w:rsidRPr="00AD25AE" w:rsidRDefault="004B251E" w:rsidP="007D3825">
      <w:pPr>
        <w:widowControl w:val="0"/>
        <w:rPr>
          <w:rFonts w:asciiTheme="majorHAnsi" w:eastAsia="Times New Roman" w:hAnsiTheme="majorHAnsi" w:cs="Times New Roman"/>
          <w:b/>
          <w:color w:val="000000" w:themeColor="text1"/>
          <w:sz w:val="28"/>
          <w:szCs w:val="28"/>
        </w:rPr>
      </w:pPr>
    </w:p>
    <w:p w14:paraId="6A950589" w14:textId="7063ACA0" w:rsidR="0064559B" w:rsidRPr="00664F73" w:rsidRDefault="00F23D01" w:rsidP="007D3825">
      <w:pPr>
        <w:widowControl w:val="0"/>
        <w:rPr>
          <w:rFonts w:asciiTheme="majorHAnsi" w:eastAsia="Times New Roman" w:hAnsiTheme="majorHAnsi" w:cs="Times New Roman"/>
          <w:i/>
          <w:color w:val="000000" w:themeColor="text1"/>
          <w:sz w:val="28"/>
          <w:szCs w:val="28"/>
        </w:rPr>
      </w:pPr>
      <w:r>
        <w:rPr>
          <w:rFonts w:asciiTheme="majorHAnsi" w:hAnsiTheme="majorHAnsi"/>
          <w:b/>
          <w:color w:val="000000" w:themeColor="text1"/>
          <w:sz w:val="28"/>
        </w:rPr>
        <w:t>República Centro-Africana (RCA):</w:t>
      </w:r>
      <w:r>
        <w:rPr>
          <w:rFonts w:asciiTheme="majorHAnsi" w:hAnsiTheme="majorHAnsi"/>
          <w:i/>
          <w:color w:val="000000" w:themeColor="text1"/>
          <w:sz w:val="28"/>
        </w:rPr>
        <w:t xml:space="preserve"> </w:t>
      </w:r>
      <w:r w:rsidRPr="0016399D">
        <w:rPr>
          <w:rFonts w:ascii="Calibri" w:hAnsi="Calibri" w:cs="Calibri"/>
          <w:i/>
          <w:color w:val="000000" w:themeColor="text1"/>
          <w:sz w:val="28"/>
        </w:rPr>
        <w:t>Assegurar o acesso e o uso dos mosquiteiros tratados com inseticida (MTI) no contexto da COVID-19, da insegurança e dos desafios do sistema de saúde</w:t>
      </w:r>
      <w:r>
        <w:rPr>
          <w:rFonts w:asciiTheme="majorHAnsi" w:hAnsiTheme="majorHAnsi"/>
          <w:i/>
          <w:color w:val="000000" w:themeColor="text1"/>
          <w:sz w:val="28"/>
        </w:rPr>
        <w:t xml:space="preserve"> </w:t>
      </w:r>
    </w:p>
    <w:p w14:paraId="734AFE6E" w14:textId="77777777" w:rsidR="00F15674" w:rsidRPr="00AD25AE" w:rsidRDefault="00F15674" w:rsidP="007D3825">
      <w:pPr>
        <w:widowControl w:val="0"/>
        <w:rPr>
          <w:rFonts w:ascii="Calibri" w:eastAsia="Times New Roman" w:hAnsi="Calibri" w:cs="Calibri"/>
          <w:b/>
          <w:sz w:val="22"/>
          <w:szCs w:val="22"/>
        </w:rPr>
      </w:pPr>
    </w:p>
    <w:p w14:paraId="72023AED" w14:textId="025880F9" w:rsidR="005337EA" w:rsidRDefault="00DF68EE" w:rsidP="007D3825">
      <w:pPr>
        <w:widowControl w:val="0"/>
        <w:rPr>
          <w:rFonts w:ascii="Calibri" w:eastAsia="Times New Roman" w:hAnsi="Calibri" w:cs="Calibri"/>
          <w:b/>
          <w:sz w:val="22"/>
          <w:szCs w:val="22"/>
        </w:rPr>
      </w:pPr>
      <w:r>
        <w:rPr>
          <w:rFonts w:ascii="Calibri" w:hAnsi="Calibri"/>
          <w:b/>
          <w:sz w:val="22"/>
        </w:rPr>
        <w:t>Principais fatores determinantes na manutenção do acesso aos MTI na RCA durante a pandemia da COVID-19</w:t>
      </w:r>
    </w:p>
    <w:p w14:paraId="18587EB1" w14:textId="77777777" w:rsidR="00237DE4" w:rsidRPr="00AD25AE" w:rsidRDefault="00237DE4" w:rsidP="007D3825">
      <w:pPr>
        <w:widowControl w:val="0"/>
        <w:rPr>
          <w:rFonts w:ascii="Calibri" w:eastAsia="Times New Roman" w:hAnsi="Calibri" w:cs="Calibri"/>
          <w:b/>
          <w:sz w:val="22"/>
          <w:szCs w:val="22"/>
        </w:rPr>
      </w:pPr>
    </w:p>
    <w:p w14:paraId="4633C734" w14:textId="46AE3610" w:rsidR="00483908" w:rsidRDefault="006C028A" w:rsidP="005A043D">
      <w:pPr>
        <w:pStyle w:val="ListParagraph"/>
        <w:widowControl w:val="0"/>
        <w:numPr>
          <w:ilvl w:val="0"/>
          <w:numId w:val="17"/>
        </w:numPr>
        <w:ind w:left="360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hAnsi="Calibri"/>
          <w:sz w:val="22"/>
        </w:rPr>
        <w:t xml:space="preserve">O Programa Nacional de Controlo da Malária (PNCM) estabeleceu fortes relações entre os departamentos do Ministério da Saúde (MS) e </w:t>
      </w:r>
      <w:r w:rsidR="002D0DD1">
        <w:rPr>
          <w:rFonts w:ascii="Calibri" w:hAnsi="Calibri"/>
          <w:sz w:val="22"/>
        </w:rPr>
        <w:t xml:space="preserve">com </w:t>
      </w:r>
      <w:r>
        <w:rPr>
          <w:rFonts w:ascii="Calibri" w:hAnsi="Calibri"/>
          <w:sz w:val="22"/>
        </w:rPr>
        <w:t>uma vasta e diversificada rede de parceiros. Com o apoio do Principal Beneficiário do Fundo Global, a World Vision International (WVI), o PNCM coordena equipas de saúde regionais e distritais, bem como parceiros humanitários e de saúde nacionais e internacionais, para assegurar o transporte e a entrega de MTI em centros de saúde, sobretudo em áreas de difícil acesso. O PNCM tem assim flexibilidade para aumentar e manter o acesso aos MTI perante ameaças emergentes de insegurança, catástrofes naturais e dos desafios contínuos dos sistemas de saúde.</w:t>
      </w:r>
    </w:p>
    <w:p w14:paraId="58EFC603" w14:textId="71D091EB" w:rsidR="00483908" w:rsidRPr="002C43EC" w:rsidRDefault="002C43EC" w:rsidP="00465859">
      <w:pPr>
        <w:widowControl w:val="0"/>
        <w:rPr>
          <w:rFonts w:ascii="Calibri" w:eastAsia="Times New Roman" w:hAnsi="Calibri" w:cs="Calibri"/>
          <w:b/>
          <w:sz w:val="22"/>
          <w:szCs w:val="22"/>
        </w:rPr>
      </w:pPr>
      <w:r>
        <w:rPr>
          <w:b/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CF389E" wp14:editId="2C2F58E4">
                <wp:simplePos x="0" y="0"/>
                <wp:positionH relativeFrom="column">
                  <wp:posOffset>129540</wp:posOffset>
                </wp:positionH>
                <wp:positionV relativeFrom="paragraph">
                  <wp:posOffset>186690</wp:posOffset>
                </wp:positionV>
                <wp:extent cx="5147945" cy="1209675"/>
                <wp:effectExtent l="12700" t="12700" r="8255" b="952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7945" cy="12096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84202" w14:textId="01D07789" w:rsidR="00EA62B5" w:rsidRPr="00E57D64" w:rsidRDefault="00EA62B5" w:rsidP="005F70DD">
                            <w:pPr>
                              <w:widowControl w:val="0"/>
                              <w:rPr>
                                <w:rFonts w:ascii="Calibri" w:eastAsia="Times New Roman" w:hAnsi="Calibri" w:cs="Calibri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z w:val="20"/>
                              </w:rPr>
                              <w:t>«Apesar da COVID-19 e de muitos outros desafios, a República Centro-Africana continua a mostrar resiliência. As parcerias fortes permitem ao PNCM coordenar-se com equipas de saúde regionais e distritais, o grupo de saúde de emergência e numerosas organizações não governamentais (ONG), no sentido de continuar a alcançar os objetivos nacionais de malária, incluindo os de distribuição de MTI.»</w:t>
                            </w:r>
                          </w:p>
                          <w:p w14:paraId="52862CE8" w14:textId="77777777" w:rsidR="00EA62B5" w:rsidRPr="00E57D64" w:rsidRDefault="00EA62B5">
                            <w:pP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377B1BB7" w14:textId="7D97B628" w:rsidR="00EA62B5" w:rsidRPr="00E726EA" w:rsidRDefault="007C7A7B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</w:rPr>
                              <w:t xml:space="preserve">Fonte: </w:t>
                            </w:r>
                            <w:r w:rsidR="00EA62B5">
                              <w:rPr>
                                <w:rFonts w:ascii="Calibri" w:hAnsi="Calibri"/>
                                <w:sz w:val="20"/>
                              </w:rPr>
                              <w:t>Dr. Christophe Ndoua, diretor coordenador do PNCM na República Centro-Africana.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CF389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0.2pt;margin-top:14.7pt;width:405.35pt;height:9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" fillcolor="white [3201]" strokecolor="#4f81bd [3204]" strokeweight="2pt">
                <v:textbox>
                  <w:txbxContent>
                    <w:p w14:paraId="60584202" w14:textId="01D07789" w:rsidR="00EA62B5" w:rsidRPr="00E57D64" w:rsidRDefault="00EA62B5" w:rsidP="005F70DD">
                      <w:pPr>
                        <w:widowControl w:val="0"/>
                        <w:rPr>
                          <w:rFonts w:ascii="Calibri" w:eastAsia="Times New Roman" w:hAnsi="Calibri" w:cs="Calibri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i/>
                          <w:sz w:val="20"/>
                        </w:rPr>
                        <w:t>«Apesar da COVID-19 e de muitos outros desafios, a República Centro-Africana continua a mostrar resiliência. As parcerias fortes permitem ao PNCM coordenar-se com equipas de saúde regionais e distritais, o grupo de saúde de emergência e numerosas organizações não governamentais (ONG), no sentido de continuar a alcançar os objetivos nacionais de malária, incluindo os de distribuição de MTI.»</w:t>
                      </w:r>
                    </w:p>
                    <w:p w14:paraId="52862CE8" w14:textId="77777777" w:rsidR="00EA62B5" w:rsidRPr="00E57D64" w:rsidRDefault="00EA62B5">
                      <w:pPr>
                        <w:rPr>
                          <w:rFonts w:ascii="Calibri" w:hAnsi="Calibri" w:cs="Calibri"/>
                          <w:i/>
                          <w:sz w:val="20"/>
                          <w:szCs w:val="20"/>
                        </w:rPr>
                      </w:pPr>
                    </w:p>
                    <w:p w14:paraId="377B1BB7" w14:textId="7D97B628" w:rsidR="00EA62B5" w:rsidRPr="00E726EA" w:rsidRDefault="007C7A7B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</w:rPr>
                        <w:t xml:space="preserve">Fonte: </w:t>
                      </w:r>
                      <w:r w:rsidR="00EA62B5">
                        <w:rPr>
                          <w:rFonts w:ascii="Calibri" w:hAnsi="Calibri"/>
                          <w:sz w:val="20"/>
                        </w:rPr>
                        <w:t>Dr. Christophe Ndoua, diretor coordenador do PNCM na República Centro-Africana.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8BFFC6" w14:textId="77777777" w:rsidR="00867DCA" w:rsidRPr="002C43EC" w:rsidRDefault="00867DCA" w:rsidP="007D3825">
      <w:pPr>
        <w:widowControl w:val="0"/>
        <w:rPr>
          <w:rFonts w:ascii="Calibri" w:eastAsia="Times New Roman" w:hAnsi="Calibri" w:cs="Calibri"/>
          <w:b/>
          <w:color w:val="000000" w:themeColor="text1"/>
          <w:sz w:val="22"/>
          <w:szCs w:val="22"/>
        </w:rPr>
      </w:pPr>
    </w:p>
    <w:p w14:paraId="198F2B96" w14:textId="3C4119EA" w:rsidR="00DF68EE" w:rsidRDefault="00DF68EE" w:rsidP="00465859">
      <w:pPr>
        <w:widowControl w:val="0"/>
        <w:rPr>
          <w:rFonts w:ascii="Calibri" w:eastAsia="Times New Roman" w:hAnsi="Calibri" w:cs="Calibri"/>
          <w:b/>
          <w:color w:val="000000" w:themeColor="text1"/>
          <w:sz w:val="22"/>
          <w:szCs w:val="22"/>
        </w:rPr>
      </w:pPr>
      <w:r>
        <w:rPr>
          <w:rFonts w:ascii="Calibri" w:hAnsi="Calibri"/>
          <w:b/>
          <w:color w:val="000000" w:themeColor="text1"/>
          <w:sz w:val="22"/>
        </w:rPr>
        <w:t>Conquistas</w:t>
      </w:r>
    </w:p>
    <w:p w14:paraId="78DE8F36" w14:textId="2D15BF80" w:rsidR="00465859" w:rsidRPr="00875637" w:rsidRDefault="00465859" w:rsidP="00465859">
      <w:pPr>
        <w:pStyle w:val="ListParagraph"/>
        <w:widowControl w:val="0"/>
        <w:numPr>
          <w:ilvl w:val="0"/>
          <w:numId w:val="17"/>
        </w:numPr>
        <w:ind w:left="360"/>
        <w:rPr>
          <w:rFonts w:ascii="Calibri" w:eastAsia="Times New Roman" w:hAnsi="Calibri" w:cs="Calibri"/>
          <w:i/>
          <w:color w:val="000000" w:themeColor="text1"/>
          <w:sz w:val="22"/>
          <w:szCs w:val="22"/>
        </w:rPr>
      </w:pPr>
      <w:r>
        <w:rPr>
          <w:rFonts w:ascii="Calibri" w:hAnsi="Calibri"/>
          <w:color w:val="000000" w:themeColor="text1"/>
          <w:sz w:val="22"/>
        </w:rPr>
        <w:t xml:space="preserve">O PNCM </w:t>
      </w:r>
      <w:r>
        <w:rPr>
          <w:rFonts w:ascii="Calibri" w:hAnsi="Calibri"/>
          <w:b/>
          <w:bCs/>
          <w:color w:val="000000" w:themeColor="text1"/>
          <w:sz w:val="22"/>
        </w:rPr>
        <w:t>aumentou a distribuição de MTI apesar da COVID-19 e de outros desafios.</w:t>
      </w:r>
      <w:r>
        <w:rPr>
          <w:rFonts w:ascii="Calibri" w:hAnsi="Calibri"/>
          <w:color w:val="000000" w:themeColor="text1"/>
          <w:sz w:val="22"/>
        </w:rPr>
        <w:t xml:space="preserve"> De janeiro a junho de 2020, o PNCM distribuiu mais 49 % de MTI por mulheres grávidas e mais 55 % por crianças com menos de um ano do que no mesmo período em 2019</w:t>
      </w:r>
      <w:r w:rsidR="009F1EC0">
        <w:rPr>
          <w:rStyle w:val="FootnoteReference"/>
          <w:rFonts w:ascii="Calibri" w:eastAsia="Times New Roman" w:hAnsi="Calibri" w:cstheme="majorHAnsi"/>
          <w:bCs/>
          <w:color w:val="000000" w:themeColor="text1"/>
          <w:sz w:val="22"/>
          <w:szCs w:val="22"/>
          <w:lang w:val="en-GB"/>
        </w:rPr>
        <w:footnoteReference w:id="1"/>
      </w:r>
      <w:r>
        <w:rPr>
          <w:rFonts w:ascii="Calibri" w:hAnsi="Calibri"/>
          <w:color w:val="000000" w:themeColor="text1"/>
          <w:sz w:val="22"/>
        </w:rPr>
        <w:t xml:space="preserve">. </w:t>
      </w:r>
    </w:p>
    <w:p w14:paraId="045179F9" w14:textId="35F2578E" w:rsidR="00A304FE" w:rsidRPr="009F1EC0" w:rsidRDefault="00A10D7C" w:rsidP="00465859">
      <w:pPr>
        <w:pStyle w:val="ListParagraph"/>
        <w:widowControl w:val="0"/>
        <w:numPr>
          <w:ilvl w:val="0"/>
          <w:numId w:val="17"/>
        </w:numPr>
        <w:ind w:left="360"/>
        <w:rPr>
          <w:rFonts w:ascii="Calibri" w:eastAsia="Times New Roman" w:hAnsi="Calibri" w:cs="Calibri"/>
          <w:i/>
          <w:color w:val="000000" w:themeColor="text1"/>
          <w:sz w:val="22"/>
          <w:szCs w:val="22"/>
        </w:rPr>
      </w:pPr>
      <w:r>
        <w:rPr>
          <w:rFonts w:ascii="Calibri" w:hAnsi="Calibri"/>
          <w:color w:val="000000" w:themeColor="text1"/>
          <w:sz w:val="22"/>
        </w:rPr>
        <w:t xml:space="preserve">O PNCM conseguiu </w:t>
      </w:r>
      <w:r>
        <w:rPr>
          <w:rFonts w:ascii="Calibri" w:hAnsi="Calibri"/>
          <w:b/>
          <w:bCs/>
          <w:color w:val="000000" w:themeColor="text1"/>
          <w:sz w:val="22"/>
        </w:rPr>
        <w:t>coordenar-se e colaborar com um grande número de organizações parceiras internacionais e nacionais</w:t>
      </w:r>
      <w:r>
        <w:rPr>
          <w:rFonts w:ascii="Calibri" w:hAnsi="Calibri"/>
          <w:color w:val="000000" w:themeColor="text1"/>
          <w:sz w:val="22"/>
        </w:rPr>
        <w:t xml:space="preserve"> na entrega de MTI a centros de saúde para distribuição </w:t>
      </w:r>
      <w:r>
        <w:rPr>
          <w:rFonts w:ascii="Calibri" w:hAnsi="Calibri"/>
          <w:color w:val="000000" w:themeColor="text1"/>
          <w:sz w:val="22"/>
        </w:rPr>
        <w:lastRenderedPageBreak/>
        <w:t xml:space="preserve">durante os cuidados pré-natais (CPN) de rotina e as visitas de vacinação infantil, utilizando os recursos existentes (sobretudo de transporte) disponibilizados a estes parceiros. </w:t>
      </w:r>
    </w:p>
    <w:p w14:paraId="132DE455" w14:textId="561CF0B8" w:rsidR="00A10D7C" w:rsidRPr="008B78DB" w:rsidRDefault="003A764C" w:rsidP="00465859">
      <w:pPr>
        <w:pStyle w:val="ListParagraph"/>
        <w:widowControl w:val="0"/>
        <w:numPr>
          <w:ilvl w:val="0"/>
          <w:numId w:val="17"/>
        </w:numPr>
        <w:ind w:left="360"/>
        <w:rPr>
          <w:rFonts w:ascii="Calibri" w:eastAsia="Times New Roman" w:hAnsi="Calibri" w:cstheme="majorHAnsi"/>
          <w:bCs/>
          <w:color w:val="000000" w:themeColor="text1"/>
          <w:sz w:val="22"/>
          <w:szCs w:val="22"/>
        </w:rPr>
      </w:pPr>
      <w:r>
        <w:rPr>
          <w:rFonts w:ascii="Calibri" w:hAnsi="Calibri"/>
          <w:color w:val="000000" w:themeColor="text1"/>
          <w:sz w:val="22"/>
        </w:rPr>
        <w:t xml:space="preserve">Superando desafios anteriores, a RCA harmonizou a elaboração de relatórios, a fim de estabelecer um sistema de relatórios combinado entre os diferentes parceiros que recebem MTI. Este processo unificado reforça os dados para a tomada de decisões e o acompanhamento dos MTI até aos centros de saúde e à população. </w:t>
      </w:r>
    </w:p>
    <w:p w14:paraId="60E1777E" w14:textId="433B7ED3" w:rsidR="00B8401B" w:rsidRPr="00336789" w:rsidRDefault="002173AF" w:rsidP="00B8401B">
      <w:pPr>
        <w:pStyle w:val="ListParagraph"/>
        <w:widowControl w:val="0"/>
        <w:numPr>
          <w:ilvl w:val="0"/>
          <w:numId w:val="17"/>
        </w:numPr>
        <w:ind w:left="360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hAnsi="Calibri"/>
          <w:sz w:val="22"/>
        </w:rPr>
        <w:t xml:space="preserve">Através de uma combinação de campanhas de distribuição de MTI em massa, distribuição através de serviços de saúde de rotina e distribuição em resposta a emergências, </w:t>
      </w:r>
      <w:r>
        <w:rPr>
          <w:rFonts w:ascii="Calibri" w:hAnsi="Calibri"/>
          <w:b/>
          <w:bCs/>
          <w:sz w:val="22"/>
        </w:rPr>
        <w:t>a cobertura de MTI na RCA permanece relativamente elevada em várias regiões</w:t>
      </w:r>
      <w:r>
        <w:rPr>
          <w:rFonts w:ascii="Calibri" w:hAnsi="Calibri"/>
          <w:sz w:val="22"/>
        </w:rPr>
        <w:t xml:space="preserve">, </w:t>
      </w:r>
      <w:r w:rsidR="002D0DD1">
        <w:rPr>
          <w:rFonts w:ascii="Calibri" w:hAnsi="Calibri"/>
          <w:sz w:val="22"/>
        </w:rPr>
        <w:t>sobretudo</w:t>
      </w:r>
      <w:r>
        <w:rPr>
          <w:rFonts w:ascii="Calibri" w:hAnsi="Calibri"/>
          <w:sz w:val="22"/>
        </w:rPr>
        <w:t xml:space="preserve"> nas menos afetadas pelos conflitos armados em curso</w:t>
      </w:r>
      <w:r w:rsidR="00C920B0">
        <w:rPr>
          <w:rStyle w:val="FootnoteReference"/>
          <w:rFonts w:ascii="Calibri" w:eastAsia="Times New Roman" w:hAnsi="Calibri" w:cs="Calibri"/>
          <w:sz w:val="22"/>
          <w:szCs w:val="22"/>
          <w:lang w:val="en-GB"/>
        </w:rPr>
        <w:footnoteReference w:id="2"/>
      </w:r>
      <w:r>
        <w:rPr>
          <w:rFonts w:ascii="Calibri" w:hAnsi="Calibri"/>
          <w:sz w:val="22"/>
        </w:rPr>
        <w:t xml:space="preserve">. </w:t>
      </w:r>
    </w:p>
    <w:p w14:paraId="222329E8" w14:textId="77777777" w:rsidR="009B7020" w:rsidRPr="00AD25AE" w:rsidRDefault="009B7020" w:rsidP="007D3825">
      <w:pPr>
        <w:widowControl w:val="0"/>
        <w:rPr>
          <w:rFonts w:ascii="Calibri" w:eastAsia="Times New Roman" w:hAnsi="Calibri" w:cs="Calibri"/>
          <w:b/>
          <w:color w:val="000000" w:themeColor="text1"/>
          <w:sz w:val="22"/>
          <w:szCs w:val="22"/>
        </w:rPr>
      </w:pPr>
    </w:p>
    <w:p w14:paraId="4366D02E" w14:textId="77777777" w:rsidR="006B36CD" w:rsidRPr="00AD25AE" w:rsidRDefault="006B36CD" w:rsidP="007D3825">
      <w:pPr>
        <w:widowControl w:val="0"/>
        <w:rPr>
          <w:rFonts w:ascii="Calibri" w:eastAsia="Times New Roman" w:hAnsi="Calibri" w:cs="Calibri"/>
          <w:b/>
          <w:color w:val="000000" w:themeColor="text1"/>
          <w:sz w:val="22"/>
          <w:szCs w:val="22"/>
        </w:rPr>
      </w:pPr>
    </w:p>
    <w:p w14:paraId="69A7B9E7" w14:textId="331B8FC2" w:rsidR="00DF68EE" w:rsidRPr="00FD0CD9" w:rsidRDefault="00DF68EE" w:rsidP="007D3825">
      <w:pPr>
        <w:widowControl w:val="0"/>
        <w:rPr>
          <w:rFonts w:ascii="Calibri" w:eastAsia="Times New Roman" w:hAnsi="Calibri" w:cs="Calibri"/>
          <w:b/>
          <w:color w:val="000000" w:themeColor="text1"/>
          <w:sz w:val="22"/>
          <w:szCs w:val="22"/>
        </w:rPr>
      </w:pPr>
      <w:r>
        <w:rPr>
          <w:rFonts w:ascii="Calibri" w:hAnsi="Calibri"/>
          <w:b/>
          <w:color w:val="000000" w:themeColor="text1"/>
          <w:sz w:val="22"/>
        </w:rPr>
        <w:t>Lições aprendidas e recomendações</w:t>
      </w:r>
    </w:p>
    <w:p w14:paraId="4E5107CC" w14:textId="58497F66" w:rsidR="00A179E9" w:rsidRPr="00FD0CD9" w:rsidRDefault="00A179E9" w:rsidP="001A4FC8">
      <w:pPr>
        <w:pStyle w:val="ListParagraph"/>
        <w:widowControl w:val="0"/>
        <w:numPr>
          <w:ilvl w:val="0"/>
          <w:numId w:val="18"/>
        </w:numPr>
        <w:ind w:left="360"/>
        <w:rPr>
          <w:rFonts w:ascii="Calibri" w:eastAsia="Times New Roman" w:hAnsi="Calibri" w:cs="Calibri"/>
          <w:color w:val="000000" w:themeColor="text1"/>
          <w:sz w:val="22"/>
          <w:szCs w:val="22"/>
        </w:rPr>
      </w:pPr>
      <w:r>
        <w:rPr>
          <w:rFonts w:ascii="Calibri" w:hAnsi="Calibri"/>
          <w:color w:val="000000" w:themeColor="text1"/>
          <w:sz w:val="22"/>
        </w:rPr>
        <w:t xml:space="preserve">É fundamental contar com uma forte coordenação dos parceiros e a liderança do </w:t>
      </w:r>
      <w:r w:rsidR="005272C3">
        <w:rPr>
          <w:rFonts w:ascii="Calibri" w:hAnsi="Calibri"/>
          <w:color w:val="000000" w:themeColor="text1"/>
          <w:sz w:val="22"/>
        </w:rPr>
        <w:t>PNCM</w:t>
      </w:r>
      <w:r>
        <w:rPr>
          <w:rFonts w:ascii="Calibri" w:hAnsi="Calibri"/>
          <w:color w:val="000000" w:themeColor="text1"/>
          <w:sz w:val="22"/>
        </w:rPr>
        <w:t xml:space="preserve"> para assegurar a prestação continuada de serviços em caso de défices operacionais ou de financiamento. As contribuições «em espécie», como o transporte de MTI ao nível distrital e dos centros de saúde, permitiram que houvesse MTI disponíveis para distribuir por mulheres grávidas e crianças com menos de cinco anos em certas partes do país. </w:t>
      </w:r>
    </w:p>
    <w:p w14:paraId="3CDEC8D3" w14:textId="77777777" w:rsidR="00A179E9" w:rsidRPr="00FD0CD9" w:rsidRDefault="00A179E9" w:rsidP="001A4FC8">
      <w:pPr>
        <w:pStyle w:val="ListParagraph"/>
        <w:widowControl w:val="0"/>
        <w:numPr>
          <w:ilvl w:val="0"/>
          <w:numId w:val="18"/>
        </w:numPr>
        <w:ind w:left="360"/>
        <w:rPr>
          <w:rFonts w:ascii="Calibri" w:eastAsia="Times New Roman" w:hAnsi="Calibri" w:cs="Calibri"/>
          <w:color w:val="000000" w:themeColor="text1"/>
          <w:sz w:val="22"/>
          <w:szCs w:val="22"/>
        </w:rPr>
      </w:pPr>
      <w:r>
        <w:rPr>
          <w:rFonts w:ascii="Calibri" w:hAnsi="Calibri"/>
          <w:color w:val="000000" w:themeColor="text1"/>
          <w:sz w:val="22"/>
        </w:rPr>
        <w:t xml:space="preserve">Não é possível assegurar a disponibilidade contínua de estoques de MTI para distribuição através de canais de rotina sem um financiamento suficiente que permita à cadeia de abastecimento garantir o reabastecimento regular e atempado. </w:t>
      </w:r>
    </w:p>
    <w:p w14:paraId="3FFBB6E4" w14:textId="795DD7AB" w:rsidR="00CE4F16" w:rsidRPr="00FD0CD9" w:rsidRDefault="00A179E9" w:rsidP="001A4FC8">
      <w:pPr>
        <w:pStyle w:val="ListParagraph"/>
        <w:widowControl w:val="0"/>
        <w:numPr>
          <w:ilvl w:val="0"/>
          <w:numId w:val="18"/>
        </w:numPr>
        <w:ind w:left="360"/>
        <w:rPr>
          <w:rFonts w:ascii="Calibri" w:eastAsia="Times New Roman" w:hAnsi="Calibri" w:cs="Calibri"/>
          <w:color w:val="000000" w:themeColor="text1"/>
          <w:sz w:val="22"/>
          <w:szCs w:val="22"/>
        </w:rPr>
      </w:pPr>
      <w:r>
        <w:rPr>
          <w:rFonts w:ascii="Calibri" w:hAnsi="Calibri"/>
          <w:color w:val="000000" w:themeColor="text1"/>
          <w:sz w:val="22"/>
        </w:rPr>
        <w:t>A disponibilidade consistente de reservas de MTI para mulheres grávidas e crianças que complet</w:t>
      </w:r>
      <w:r w:rsidR="005272C3">
        <w:rPr>
          <w:rFonts w:ascii="Calibri" w:hAnsi="Calibri"/>
          <w:color w:val="000000" w:themeColor="text1"/>
          <w:sz w:val="22"/>
        </w:rPr>
        <w:t>e</w:t>
      </w:r>
      <w:r>
        <w:rPr>
          <w:rFonts w:ascii="Calibri" w:hAnsi="Calibri"/>
          <w:color w:val="000000" w:themeColor="text1"/>
          <w:sz w:val="22"/>
        </w:rPr>
        <w:t xml:space="preserve">m o ciclo de vacinação de rotina é fundamental para que os prestadores de cuidados de saúde saibam que, quando estas pessoas procuram serviços em centros de saúde, irão receber um MTI. Isto é particularmente importante no contexto das dificuldades de acesso aos centros de saúde, devido tanto à insegurança como ao receio de transmissão da COVID-19.   </w:t>
      </w:r>
    </w:p>
    <w:p w14:paraId="5914DF3B" w14:textId="77777777" w:rsidR="00A179E9" w:rsidRPr="00AD25AE" w:rsidRDefault="00A179E9" w:rsidP="007D3825">
      <w:pPr>
        <w:widowControl w:val="0"/>
        <w:rPr>
          <w:rFonts w:ascii="Calibri" w:eastAsia="Times New Roman" w:hAnsi="Calibri" w:cs="Calibri"/>
          <w:b/>
        </w:rPr>
      </w:pPr>
    </w:p>
    <w:p w14:paraId="6293B60C" w14:textId="1D066269" w:rsidR="0064559B" w:rsidRPr="00AC2E8D" w:rsidRDefault="0064559B" w:rsidP="007D3825">
      <w:pPr>
        <w:widowControl w:val="0"/>
        <w:rPr>
          <w:rFonts w:ascii="Calibri" w:eastAsia="Times New Roman" w:hAnsi="Calibri" w:cs="Calibri"/>
          <w:b/>
        </w:rPr>
      </w:pPr>
      <w:r>
        <w:rPr>
          <w:rFonts w:ascii="Calibri" w:hAnsi="Calibri"/>
          <w:b/>
        </w:rPr>
        <w:t>Contexto</w:t>
      </w:r>
    </w:p>
    <w:p w14:paraId="06F99C4F" w14:textId="0B97010E" w:rsidR="00A458D2" w:rsidRPr="00AD25AE" w:rsidRDefault="00A458D2" w:rsidP="007D3825">
      <w:pPr>
        <w:widowControl w:val="0"/>
        <w:rPr>
          <w:rFonts w:ascii="Calibri" w:eastAsia="Times New Roman" w:hAnsi="Calibri" w:cs="Calibri"/>
          <w:b/>
          <w:sz w:val="22"/>
          <w:szCs w:val="22"/>
        </w:rPr>
      </w:pPr>
    </w:p>
    <w:p w14:paraId="682B5CCA" w14:textId="0DCE1CE4" w:rsidR="00A179E9" w:rsidRPr="00FD0CD9" w:rsidRDefault="00A179E9" w:rsidP="006B36CD">
      <w:pPr>
        <w:pStyle w:val="Default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hAnsi="Calibri"/>
          <w:color w:val="000000" w:themeColor="text1"/>
          <w:sz w:val="22"/>
        </w:rPr>
        <w:t xml:space="preserve">A República Centro-Africana é um país sem litoral, que faz fronteira com o Chade, a República Democrática do Congo, a República do Congo, os Camarões, o Sudão e o Sudão do Sul. </w:t>
      </w:r>
      <w:r>
        <w:rPr>
          <w:rFonts w:ascii="Calibri" w:hAnsi="Calibri"/>
          <w:sz w:val="22"/>
        </w:rPr>
        <w:t xml:space="preserve">Desde 2012, os conflitos armados em curso atingiram níveis catastróficos em muitas partes do país, desestabilizando as instituições governamentais, incluindo os sistemas de saúde, e levando a uma implementação subótima de programas de saúde. </w:t>
      </w:r>
    </w:p>
    <w:p w14:paraId="6293AB4A" w14:textId="77777777" w:rsidR="00A179E9" w:rsidRPr="00AD25AE" w:rsidRDefault="00A179E9" w:rsidP="00A179E9">
      <w:pPr>
        <w:widowControl w:val="0"/>
        <w:rPr>
          <w:rFonts w:ascii="Calibri" w:eastAsia="Times New Roman" w:hAnsi="Calibri" w:cs="Calibri"/>
          <w:sz w:val="22"/>
          <w:szCs w:val="22"/>
        </w:rPr>
      </w:pPr>
    </w:p>
    <w:p w14:paraId="561F2407" w14:textId="0BB5E8E2" w:rsidR="00A179E9" w:rsidRPr="00FD0CD9" w:rsidRDefault="00A179E9" w:rsidP="00A179E9">
      <w:pPr>
        <w:widowControl w:val="0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hAnsi="Calibri"/>
          <w:sz w:val="22"/>
        </w:rPr>
        <w:t>Segundo o Gabinete de Coordenação dos Assuntos Humanitários das Nações Unidas (OCHA-ONU), dos 4,9 milhões de habitantes (população estimada) da RCA, prevê-se que 2,8 milhões (57 %) irão necessitar de assistência e proteção humanitária em 2021, cerca de 25 % estão deslocados internamente ou em países vizinhos e cerca de 40 % das famílias enfrentam uma insegurança alimentar aguda</w:t>
      </w:r>
      <w:r w:rsidRPr="00FD0CD9">
        <w:rPr>
          <w:rStyle w:val="FootnoteReference"/>
          <w:rFonts w:ascii="Calibri" w:eastAsia="Times New Roman" w:hAnsi="Calibri" w:cs="Calibri"/>
          <w:sz w:val="22"/>
          <w:szCs w:val="22"/>
          <w:lang w:val="en-GB"/>
        </w:rPr>
        <w:footnoteReference w:id="3"/>
      </w:r>
      <w:r>
        <w:rPr>
          <w:rFonts w:ascii="Calibri" w:hAnsi="Calibri"/>
          <w:sz w:val="22"/>
        </w:rPr>
        <w:t>. Apesar do internacionalmente reconhecido</w:t>
      </w:r>
      <w:r>
        <w:rPr>
          <w:rFonts w:ascii="Calibri" w:hAnsi="Calibri"/>
          <w:i/>
          <w:iCs/>
          <w:sz w:val="22"/>
        </w:rPr>
        <w:t xml:space="preserve"> Accord Politique pour la Paix et la Réconciliation</w:t>
      </w:r>
      <w:r>
        <w:rPr>
          <w:rFonts w:ascii="Calibri" w:hAnsi="Calibri"/>
          <w:sz w:val="22"/>
        </w:rPr>
        <w:t xml:space="preserve"> (Acordo Político para a Paz e Reconciliação) assinado pelo governo e </w:t>
      </w:r>
      <w:r>
        <w:rPr>
          <w:rFonts w:ascii="Calibri" w:hAnsi="Calibri"/>
          <w:sz w:val="22"/>
        </w:rPr>
        <w:lastRenderedPageBreak/>
        <w:t xml:space="preserve">por grupos armados em 2019, continuam a violar-se direitos humanos e o direito internacional humanitário. </w:t>
      </w:r>
    </w:p>
    <w:p w14:paraId="03B5FAD6" w14:textId="77777777" w:rsidR="00A179E9" w:rsidRPr="00AD25AE" w:rsidRDefault="00A179E9" w:rsidP="00A179E9">
      <w:pPr>
        <w:widowControl w:val="0"/>
        <w:rPr>
          <w:rFonts w:ascii="Calibri" w:eastAsia="Times New Roman" w:hAnsi="Calibri" w:cs="Calibri"/>
          <w:sz w:val="22"/>
          <w:szCs w:val="22"/>
        </w:rPr>
      </w:pPr>
    </w:p>
    <w:p w14:paraId="7764927F" w14:textId="55DDE0A5" w:rsidR="00A179E9" w:rsidRPr="00FD0CD9" w:rsidRDefault="00A179E9" w:rsidP="00A179E9">
      <w:pPr>
        <w:widowControl w:val="0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hAnsi="Calibri"/>
          <w:sz w:val="22"/>
        </w:rPr>
        <w:t>A RCA ocupa o 188</w:t>
      </w:r>
      <w:r w:rsidRPr="005272C3">
        <w:rPr>
          <w:rFonts w:ascii="Arial" w:hAnsi="Arial" w:cs="Arial"/>
          <w:sz w:val="22"/>
        </w:rPr>
        <w:t>º</w:t>
      </w:r>
      <w:r>
        <w:rPr>
          <w:rFonts w:ascii="Calibri" w:hAnsi="Calibri"/>
          <w:sz w:val="22"/>
        </w:rPr>
        <w:t xml:space="preserve"> lugar no Índice de Desenvolvimento Humano</w:t>
      </w:r>
      <w:r w:rsidRPr="00FD0CD9">
        <w:rPr>
          <w:rStyle w:val="FootnoteReference"/>
          <w:rFonts w:ascii="Calibri" w:eastAsia="Times New Roman" w:hAnsi="Calibri" w:cs="Calibri"/>
          <w:sz w:val="22"/>
          <w:szCs w:val="22"/>
          <w:lang w:val="en-GB"/>
        </w:rPr>
        <w:footnoteReference w:id="4"/>
      </w:r>
      <w:r>
        <w:rPr>
          <w:rFonts w:ascii="Calibri" w:hAnsi="Calibri"/>
          <w:sz w:val="22"/>
        </w:rPr>
        <w:t xml:space="preserve"> entre 189 países e, em 2018, mais de 70 % da população vivia abaixo do limiar internacional da pobreza de 1,90 USD por dia. Apesar disso, o crescimento económico na RCA ultrapassou o crescimento médio dos países vizinhos da Comunidade Económica dos Estados da África Central (CEEAC) desde 2015</w:t>
      </w:r>
      <w:r w:rsidRPr="00FD0CD9">
        <w:rPr>
          <w:rStyle w:val="FootnoteReference"/>
          <w:rFonts w:ascii="Calibri" w:hAnsi="Calibri"/>
          <w:sz w:val="22"/>
          <w:szCs w:val="22"/>
        </w:rPr>
        <w:footnoteReference w:id="5"/>
      </w:r>
      <w:r>
        <w:rPr>
          <w:rFonts w:ascii="Calibri" w:hAnsi="Calibri"/>
          <w:sz w:val="22"/>
        </w:rPr>
        <w:t>.</w:t>
      </w:r>
    </w:p>
    <w:p w14:paraId="6854F929" w14:textId="77777777" w:rsidR="00A179E9" w:rsidRPr="00FD0CD9" w:rsidRDefault="00A179E9" w:rsidP="00A179E9">
      <w:pPr>
        <w:widowControl w:val="0"/>
        <w:rPr>
          <w:rFonts w:ascii="Calibri" w:eastAsia="Times New Roman" w:hAnsi="Calibri" w:cs="Calibri"/>
          <w:color w:val="000000" w:themeColor="text1"/>
          <w:sz w:val="22"/>
          <w:szCs w:val="22"/>
          <w:shd w:val="clear" w:color="auto" w:fill="FFFFFF"/>
        </w:rPr>
      </w:pPr>
    </w:p>
    <w:p w14:paraId="1EE790CF" w14:textId="110B81FE" w:rsidR="00A179E9" w:rsidRPr="00FD0CD9" w:rsidRDefault="00A179E9" w:rsidP="00A179E9">
      <w:pPr>
        <w:widowControl w:val="0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hAnsi="Calibri"/>
          <w:sz w:val="22"/>
        </w:rPr>
        <w:t xml:space="preserve">As infraestruturas de saúde na RCA incluem 1 008 centros de saúde públicos e privados, dos quais 823 estão funcionais ou parcialmente funcionais. Em muitos casos, o equipamento sanitário tem sido saqueado. O pessoal de saúde é também muito </w:t>
      </w:r>
      <w:r w:rsidR="005272C3">
        <w:rPr>
          <w:rFonts w:ascii="Calibri" w:hAnsi="Calibri"/>
          <w:sz w:val="22"/>
        </w:rPr>
        <w:t>escasso</w:t>
      </w:r>
      <w:r>
        <w:rPr>
          <w:rFonts w:ascii="Calibri" w:hAnsi="Calibri"/>
          <w:sz w:val="22"/>
        </w:rPr>
        <w:t>, com apenas um médico por cada 24 769 pessoas e uma enfermeira por cada 20 457 pessoas. A RCA estabeleceu uma abordagem de saúde comunitária e conta com um agente de saúde comunitária por cada 1 643 pessoas</w:t>
      </w:r>
      <w:r w:rsidRPr="00FD0CD9">
        <w:rPr>
          <w:rStyle w:val="FootnoteReference"/>
          <w:rFonts w:ascii="Calibri" w:eastAsia="Times New Roman" w:hAnsi="Calibri" w:cs="Calibri"/>
          <w:sz w:val="22"/>
          <w:szCs w:val="22"/>
          <w:lang w:val="en-GB"/>
        </w:rPr>
        <w:footnoteReference w:id="6"/>
      </w:r>
      <w:r>
        <w:rPr>
          <w:rFonts w:ascii="Calibri" w:hAnsi="Calibri"/>
          <w:sz w:val="22"/>
        </w:rPr>
        <w:t xml:space="preserve">. </w:t>
      </w:r>
    </w:p>
    <w:p w14:paraId="7F6DA12B" w14:textId="5D8A0B19" w:rsidR="00A7374F" w:rsidRPr="00AD25AE" w:rsidRDefault="00A7374F" w:rsidP="00A179E9">
      <w:pPr>
        <w:widowControl w:val="0"/>
        <w:rPr>
          <w:rFonts w:ascii="Calibri" w:eastAsia="Times New Roman" w:hAnsi="Calibri" w:cs="Calibri"/>
          <w:sz w:val="22"/>
          <w:szCs w:val="22"/>
        </w:rPr>
      </w:pPr>
    </w:p>
    <w:p w14:paraId="27CCE54E" w14:textId="137484CB" w:rsidR="00A7374F" w:rsidRPr="00FD0CD9" w:rsidRDefault="00A7374F" w:rsidP="00A7374F">
      <w:pPr>
        <w:pStyle w:val="Default"/>
        <w:widowControl w:val="0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/>
          <w:color w:val="000000" w:themeColor="text1"/>
          <w:sz w:val="22"/>
        </w:rPr>
        <w:t>A esperança média de vida na RCA é de apenas 53 anos; a mortalidade materna é a segunda maior do mundo; uma em cada 25 pessoas entre os 15 e os 49 anos tem VIH; menos de metade das crianças são vacinadas contra a poliomielite, a difteria e o tétano</w:t>
      </w:r>
      <w:r w:rsidRPr="00FD0CD9">
        <w:rPr>
          <w:rStyle w:val="FootnoteReference"/>
          <w:rFonts w:ascii="Calibri" w:hAnsi="Calibri" w:cs="Calibri"/>
          <w:color w:val="000000" w:themeColor="text1"/>
          <w:sz w:val="22"/>
          <w:szCs w:val="22"/>
        </w:rPr>
        <w:footnoteReference w:id="7"/>
      </w:r>
      <w:r>
        <w:rPr>
          <w:rFonts w:ascii="Calibri" w:hAnsi="Calibri"/>
          <w:color w:val="000000" w:themeColor="text1"/>
          <w:sz w:val="22"/>
        </w:rPr>
        <w:t>.</w:t>
      </w:r>
    </w:p>
    <w:p w14:paraId="78172893" w14:textId="2B7C7E86" w:rsidR="00A7374F" w:rsidRPr="00FD0CD9" w:rsidRDefault="00A7374F" w:rsidP="00A7374F">
      <w:pPr>
        <w:pStyle w:val="Default"/>
        <w:widowControl w:val="0"/>
        <w:rPr>
          <w:rFonts w:ascii="Calibri" w:hAnsi="Calibri" w:cs="Calibri"/>
          <w:color w:val="000000" w:themeColor="text1"/>
          <w:sz w:val="22"/>
          <w:szCs w:val="22"/>
        </w:rPr>
      </w:pPr>
    </w:p>
    <w:p w14:paraId="23B96951" w14:textId="3B28B25B" w:rsidR="00A7374F" w:rsidRPr="00FD0CD9" w:rsidRDefault="00A7374F" w:rsidP="00A7374F">
      <w:pPr>
        <w:pStyle w:val="Default"/>
        <w:widowControl w:val="0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hAnsi="Calibri"/>
          <w:sz w:val="22"/>
        </w:rPr>
        <w:t>Os esforços do Ministério da Saúde e da População para fazer chegar serviços de saúde às comunidades e prestar-lhes cuidados nos centros de saúde são complementados por organizações não governamentais internacionais e nacionais, conforme ilustrado na figura 1 abaixo.</w:t>
      </w:r>
    </w:p>
    <w:p w14:paraId="691D1E12" w14:textId="1D1787CF" w:rsidR="00A7374F" w:rsidRPr="00AD25AE" w:rsidRDefault="00A7374F" w:rsidP="00A7374F">
      <w:pPr>
        <w:pStyle w:val="Default"/>
        <w:widowControl w:val="0"/>
        <w:rPr>
          <w:rFonts w:ascii="Calibri" w:eastAsia="Times New Roman" w:hAnsi="Calibri" w:cs="Calibri"/>
          <w:sz w:val="22"/>
          <w:szCs w:val="22"/>
        </w:rPr>
      </w:pPr>
    </w:p>
    <w:p w14:paraId="2AC1DFED" w14:textId="2A6DD271" w:rsidR="00A7374F" w:rsidRDefault="006B36CD" w:rsidP="00A7374F">
      <w:pPr>
        <w:pStyle w:val="Default"/>
        <w:widowControl w:val="0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hAnsi="Calibri"/>
          <w:noProof/>
          <w:color w:val="000000" w:themeColor="text1"/>
          <w:sz w:val="22"/>
          <w:lang w:val="de-CH" w:eastAsia="de-CH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19BA36" wp14:editId="2FC519A4">
                <wp:simplePos x="0" y="0"/>
                <wp:positionH relativeFrom="column">
                  <wp:posOffset>85725</wp:posOffset>
                </wp:positionH>
                <wp:positionV relativeFrom="paragraph">
                  <wp:posOffset>3781425</wp:posOffset>
                </wp:positionV>
                <wp:extent cx="4838700" cy="28829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288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46F373" w14:textId="71EABDA0" w:rsidR="00EA62B5" w:rsidRPr="006B36CD" w:rsidRDefault="00EA62B5" w:rsidP="006B36CD">
                            <w:pPr>
                              <w:pStyle w:val="Default"/>
                              <w:widowControl w:val="0"/>
                              <w:rPr>
                                <w:rFonts w:ascii="Calibri" w:eastAsia="Times New Roman" w:hAnsi="Calibri" w:cs="Calibri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z w:val="20"/>
                              </w:rPr>
                              <w:t xml:space="preserve">Figura 1: Mapa do grupo de saúde da RCA com presença de parceiros (janeiro </w:t>
                            </w:r>
                            <w:r w:rsidR="00DF6230">
                              <w:rPr>
                                <w:rFonts w:ascii="Calibri" w:hAnsi="Calibri"/>
                                <w:i/>
                                <w:sz w:val="20"/>
                              </w:rPr>
                              <w:t xml:space="preserve">de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0"/>
                              </w:rPr>
                              <w:t>2020)</w:t>
                            </w:r>
                          </w:p>
                          <w:p w14:paraId="26D43A08" w14:textId="77777777" w:rsidR="00EA62B5" w:rsidRPr="00AD25AE" w:rsidRDefault="00EA62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9BA36" id="Text Box 6" o:spid="_x0000_s1027" type="#_x0000_t202" style="position:absolute;margin-left:6.75pt;margin-top:297.75pt;width:381pt;height:22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" fillcolor="white [3201]" stroked="f" strokeweight=".5pt">
                <v:textbox>
                  <w:txbxContent>
                    <w:p w14:paraId="7D46F373" w14:textId="71EABDA0" w:rsidR="00EA62B5" w:rsidRPr="006B36CD" w:rsidRDefault="00EA62B5" w:rsidP="006B36CD">
                      <w:pPr>
                        <w:pStyle w:val="Default"/>
                        <w:widowControl w:val="0"/>
                        <w:rPr>
                          <w:rFonts w:ascii="Calibri" w:eastAsia="Times New Roman" w:hAnsi="Calibri" w:cs="Calibri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i/>
                          <w:sz w:val="20"/>
                        </w:rPr>
                        <w:t xml:space="preserve">Figura 1: Mapa do grupo de saúde da RCA com presença de parceiros (janeiro </w:t>
                      </w:r>
                      <w:r w:rsidR="00DF6230">
                        <w:rPr>
                          <w:rFonts w:ascii="Calibri" w:hAnsi="Calibri"/>
                          <w:i/>
                          <w:sz w:val="20"/>
                        </w:rPr>
                        <w:t xml:space="preserve">de </w:t>
                      </w:r>
                      <w:r>
                        <w:rPr>
                          <w:rFonts w:ascii="Calibri" w:hAnsi="Calibri"/>
                          <w:i/>
                          <w:sz w:val="20"/>
                        </w:rPr>
                        <w:t>2020)</w:t>
                      </w:r>
                    </w:p>
                    <w:p w14:paraId="26D43A08" w14:textId="77777777" w:rsidR="00EA62B5" w:rsidRPr="00AD25AE" w:rsidRDefault="00EA62B5"/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2"/>
          <w:lang w:val="de-CH" w:eastAsia="de-CH"/>
        </w:rPr>
        <w:drawing>
          <wp:inline distT="0" distB="0" distL="0" distR="0" wp14:anchorId="035C5C3B" wp14:editId="5FE1428A">
            <wp:extent cx="5486400" cy="38766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6E2B7" w14:textId="77777777" w:rsidR="00DF6230" w:rsidRDefault="00DF6230" w:rsidP="007D3825">
      <w:pPr>
        <w:widowControl w:val="0"/>
        <w:rPr>
          <w:rFonts w:ascii="Calibri" w:hAnsi="Calibri"/>
          <w:b/>
        </w:rPr>
      </w:pPr>
    </w:p>
    <w:p w14:paraId="2221874E" w14:textId="77777777" w:rsidR="00DF6230" w:rsidRDefault="00DF6230" w:rsidP="007D3825">
      <w:pPr>
        <w:widowControl w:val="0"/>
        <w:rPr>
          <w:rFonts w:ascii="Calibri" w:hAnsi="Calibri"/>
          <w:b/>
        </w:rPr>
      </w:pPr>
    </w:p>
    <w:p w14:paraId="3B10376D" w14:textId="3F0446EB" w:rsidR="00A179E9" w:rsidRPr="00FD0CD9" w:rsidRDefault="00A179E9" w:rsidP="007D3825">
      <w:pPr>
        <w:widowControl w:val="0"/>
        <w:rPr>
          <w:rFonts w:ascii="Calibri" w:eastAsia="Times New Roman" w:hAnsi="Calibri" w:cs="Calibri"/>
          <w:b/>
        </w:rPr>
      </w:pPr>
      <w:r>
        <w:rPr>
          <w:rFonts w:ascii="Calibri" w:hAnsi="Calibri"/>
          <w:b/>
        </w:rPr>
        <w:t>Malária na RCA</w:t>
      </w:r>
    </w:p>
    <w:p w14:paraId="278704B6" w14:textId="77777777" w:rsidR="00A179E9" w:rsidRPr="00AD25AE" w:rsidRDefault="00A179E9" w:rsidP="007D3825">
      <w:pPr>
        <w:widowControl w:val="0"/>
        <w:rPr>
          <w:rFonts w:ascii="Calibri" w:eastAsia="Times New Roman" w:hAnsi="Calibri" w:cs="Calibri"/>
          <w:b/>
          <w:sz w:val="22"/>
          <w:szCs w:val="22"/>
        </w:rPr>
      </w:pPr>
    </w:p>
    <w:p w14:paraId="7E44486A" w14:textId="59C16A27" w:rsidR="004C6254" w:rsidRPr="00FB5C3E" w:rsidRDefault="004C6254" w:rsidP="007D3825">
      <w:pPr>
        <w:widowControl w:val="0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hAnsi="Calibri"/>
          <w:sz w:val="22"/>
        </w:rPr>
        <w:t xml:space="preserve">A malária continua a ser a primeira causa de consultas médicas na RCA. Embora todas as regiões do país sejam afetadas pela malária, a prestação de serviços contra a doença é afetada pela segurança e acessibilidade da região. A RCA identifica populações-chave com maior risco de malária devido ao acesso limitado aos serviços, incluindo as que estão deslocadas e/ou vivem em zonas de alta insegurança, </w:t>
      </w:r>
      <w:r w:rsidR="00DF6230">
        <w:rPr>
          <w:rFonts w:ascii="Calibri" w:hAnsi="Calibri"/>
          <w:sz w:val="22"/>
        </w:rPr>
        <w:t xml:space="preserve">os </w:t>
      </w:r>
      <w:r>
        <w:rPr>
          <w:rFonts w:ascii="Calibri" w:hAnsi="Calibri"/>
          <w:sz w:val="22"/>
        </w:rPr>
        <w:t>pigmeus, os Fulani (pastores nómadas), mineiros, crianças de rua e populações que vivem a mais de cinco quilómetros de centros de saúde (35 % da população)</w:t>
      </w:r>
      <w:r w:rsidR="004428B1" w:rsidRPr="00FB5C3E">
        <w:rPr>
          <w:rStyle w:val="FootnoteReference"/>
          <w:rFonts w:ascii="Calibri" w:eastAsia="Times New Roman" w:hAnsi="Calibri" w:cs="Calibri"/>
          <w:sz w:val="22"/>
          <w:szCs w:val="22"/>
          <w:lang w:val="en-GB"/>
        </w:rPr>
        <w:footnoteReference w:id="8"/>
      </w:r>
      <w:r>
        <w:rPr>
          <w:rFonts w:ascii="Calibri" w:hAnsi="Calibri"/>
          <w:sz w:val="22"/>
        </w:rPr>
        <w:t>.</w:t>
      </w:r>
    </w:p>
    <w:p w14:paraId="722194A7" w14:textId="0D50D1FE" w:rsidR="00B72099" w:rsidRPr="00FB5C3E" w:rsidRDefault="00B72099" w:rsidP="007D3825">
      <w:pPr>
        <w:widowControl w:val="0"/>
        <w:rPr>
          <w:rFonts w:ascii="Calibri" w:eastAsia="Times New Roman" w:hAnsi="Calibri" w:cs="Calibri"/>
          <w:sz w:val="22"/>
          <w:szCs w:val="22"/>
        </w:rPr>
      </w:pPr>
    </w:p>
    <w:p w14:paraId="7C0B4543" w14:textId="0BE0985D" w:rsidR="008C3E4F" w:rsidRPr="00FB5C3E" w:rsidRDefault="00B72099" w:rsidP="007D3825">
      <w:pPr>
        <w:widowControl w:val="0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hAnsi="Calibri"/>
          <w:sz w:val="22"/>
        </w:rPr>
        <w:t xml:space="preserve">O PNCM da </w:t>
      </w:r>
      <w:r>
        <w:rPr>
          <w:rFonts w:ascii="Calibri" w:hAnsi="Calibri"/>
          <w:color w:val="000000" w:themeColor="text1"/>
          <w:sz w:val="22"/>
          <w:shd w:val="clear" w:color="auto" w:fill="FFFFFF"/>
        </w:rPr>
        <w:t>RCA</w:t>
      </w:r>
      <w:r>
        <w:rPr>
          <w:rFonts w:ascii="Calibri" w:hAnsi="Calibri"/>
          <w:sz w:val="22"/>
        </w:rPr>
        <w:t xml:space="preserve"> estabeleceu um objetivo claro no âmbito do Plano Estratégico Nacional contra a Malária em 2018-2022 (alargado até 2023) de contribuir para a redução em 50 % de todas as causas de morbilidade e mortalidade no país em relação aos níveis de 2015. Concretamente, o objetivo de controlo vetorial do plano é proteger pelo menos 80 % da população com intervenções eficazes até 2023. O programa de MTI têm por objetivo: </w:t>
      </w:r>
    </w:p>
    <w:p w14:paraId="03346953" w14:textId="2BC8B89F" w:rsidR="008C3E4F" w:rsidRPr="00FB5C3E" w:rsidRDefault="00B72099" w:rsidP="008C3E4F">
      <w:pPr>
        <w:pStyle w:val="ListParagraph"/>
        <w:widowControl w:val="0"/>
        <w:numPr>
          <w:ilvl w:val="0"/>
          <w:numId w:val="19"/>
        </w:numPr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hAnsi="Calibri"/>
          <w:sz w:val="22"/>
        </w:rPr>
        <w:t>equipar 100 % das famílias com pelo menos um MTI por cada duas pessoas</w:t>
      </w:r>
    </w:p>
    <w:p w14:paraId="13928452" w14:textId="1BFE0D95" w:rsidR="00B72099" w:rsidRPr="00FB5C3E" w:rsidRDefault="00B72099" w:rsidP="00521C42">
      <w:pPr>
        <w:pStyle w:val="ListParagraph"/>
        <w:widowControl w:val="0"/>
        <w:numPr>
          <w:ilvl w:val="0"/>
          <w:numId w:val="19"/>
        </w:numPr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hAnsi="Calibri"/>
          <w:sz w:val="22"/>
        </w:rPr>
        <w:t>pôr 95 % das crianças com menos de cinco anos e mulheres grávidas a dormir sob um MTI</w:t>
      </w:r>
      <w:r w:rsidRPr="00FB5C3E">
        <w:rPr>
          <w:rStyle w:val="FootnoteReference"/>
          <w:rFonts w:ascii="Calibri" w:eastAsia="Times New Roman" w:hAnsi="Calibri" w:cs="Calibri"/>
          <w:sz w:val="22"/>
          <w:szCs w:val="22"/>
          <w:lang w:val="en-GB"/>
        </w:rPr>
        <w:footnoteReference w:id="9"/>
      </w:r>
    </w:p>
    <w:p w14:paraId="4C16A3C9" w14:textId="1B962632" w:rsidR="00EF5E8B" w:rsidRPr="00AD25AE" w:rsidRDefault="00EF5E8B" w:rsidP="007D3825">
      <w:pPr>
        <w:widowControl w:val="0"/>
        <w:rPr>
          <w:rFonts w:ascii="Calibri" w:eastAsia="Times New Roman" w:hAnsi="Calibri" w:cs="Calibri"/>
          <w:sz w:val="22"/>
          <w:szCs w:val="22"/>
        </w:rPr>
      </w:pPr>
    </w:p>
    <w:p w14:paraId="57C7D9EE" w14:textId="621B1382" w:rsidR="00E3504D" w:rsidRPr="00FB5C3E" w:rsidRDefault="003A764C" w:rsidP="007D3825">
      <w:pPr>
        <w:widowControl w:val="0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hAnsi="Calibri"/>
          <w:noProof/>
          <w:sz w:val="22"/>
          <w:lang w:val="de-CH" w:eastAsia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EE5462" wp14:editId="404185B6">
                <wp:simplePos x="0" y="0"/>
                <wp:positionH relativeFrom="column">
                  <wp:posOffset>1565910</wp:posOffset>
                </wp:positionH>
                <wp:positionV relativeFrom="paragraph">
                  <wp:posOffset>1482906</wp:posOffset>
                </wp:positionV>
                <wp:extent cx="4065270" cy="2369820"/>
                <wp:effectExtent l="0" t="0" r="0" b="508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5270" cy="2369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62DEDD" w14:textId="52262650" w:rsidR="00EA62B5" w:rsidRDefault="00EA62B5">
                            <w:r>
                              <w:rPr>
                                <w:noProof/>
                                <w:lang w:val="de-CH" w:eastAsia="de-CH"/>
                              </w:rPr>
                              <w:drawing>
                                <wp:inline distT="0" distB="0" distL="0" distR="0" wp14:anchorId="211BB8E9" wp14:editId="49031061">
                                  <wp:extent cx="4041021" cy="2391508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5111" cy="24057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E5462" id="Text Box 3" o:spid="_x0000_s1028" type="#_x0000_t202" style="position:absolute;margin-left:123.3pt;margin-top:116.75pt;width:320.1pt;height:18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" fillcolor="white [3201]" stroked="f" strokeweight=".5pt">
                <v:textbox>
                  <w:txbxContent>
                    <w:p w14:paraId="3B62DEDD" w14:textId="52262650" w:rsidR="00EA62B5" w:rsidRDefault="00EA62B5">
                      <w:r>
                        <w:rPr>
                          <w:noProof/>
                          <w:lang w:val="de-CH" w:eastAsia="de-CH"/>
                        </w:rPr>
                        <w:drawing>
                          <wp:inline distT="0" distB="0" distL="0" distR="0" wp14:anchorId="211BB8E9" wp14:editId="49031061">
                            <wp:extent cx="4041021" cy="2391508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5111" cy="2405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/>
          <w:sz w:val="22"/>
        </w:rPr>
        <w:t xml:space="preserve">Os resultados do Inquérito de Indicadores da Malária de 2016 na RCA mostram que 49 % das famílias têm pelo menos um MTI por cada duas pessoas, com percentagens mais elevadas em Bangui (64 %) e nas regiões de saúde 1, 2 e 3 (57 %), que completaram a distribuição em massa de MTI antes do inquérito. A percentagem de famílias com pelo menos um MTI é de 92 % em Bangui, 86 % nas regiões de saúde 1, 2, e </w:t>
      </w:r>
      <w:r w:rsidR="008D2037">
        <w:rPr>
          <w:rFonts w:ascii="Calibri" w:hAnsi="Calibri"/>
          <w:sz w:val="22"/>
        </w:rPr>
        <w:t>3</w:t>
      </w:r>
      <w:r>
        <w:rPr>
          <w:rFonts w:ascii="Calibri" w:hAnsi="Calibri"/>
          <w:sz w:val="22"/>
        </w:rPr>
        <w:t xml:space="preserve">, e 47 % nas regiões de saúde </w:t>
      </w:r>
      <w:r w:rsidR="008D2037">
        <w:rPr>
          <w:rFonts w:ascii="Calibri" w:hAnsi="Calibri"/>
          <w:sz w:val="22"/>
        </w:rPr>
        <w:t>4</w:t>
      </w:r>
      <w:r>
        <w:rPr>
          <w:rFonts w:ascii="Calibri" w:hAnsi="Calibri"/>
          <w:sz w:val="22"/>
        </w:rPr>
        <w:t xml:space="preserve">, </w:t>
      </w:r>
      <w:r w:rsidR="008D2037">
        <w:rPr>
          <w:rFonts w:ascii="Calibri" w:hAnsi="Calibri"/>
          <w:sz w:val="22"/>
        </w:rPr>
        <w:t>5</w:t>
      </w:r>
      <w:r>
        <w:rPr>
          <w:rFonts w:ascii="Calibri" w:hAnsi="Calibri"/>
          <w:sz w:val="22"/>
        </w:rPr>
        <w:t xml:space="preserve"> e </w:t>
      </w:r>
      <w:r w:rsidR="008D2037">
        <w:rPr>
          <w:rFonts w:ascii="Calibri" w:hAnsi="Calibri"/>
          <w:sz w:val="22"/>
        </w:rPr>
        <w:t>6</w:t>
      </w:r>
      <w:r>
        <w:rPr>
          <w:rFonts w:ascii="Calibri" w:hAnsi="Calibri"/>
          <w:sz w:val="22"/>
        </w:rPr>
        <w:t>. Como se pode ver na figura 2, a utilização de MTI é mais baixa entre as crianças dos cinco aos nove anos (47 %) e dos 10 aos 14 anos (50 %). O uso de MTI entre crianças com menos de cinco anos é ligeiramente mais elevado (54 %). Acima dos 15 anos, a percentagem de pessoas que dormem sob um MTI é mais elevada</w:t>
      </w:r>
      <w:r w:rsidR="005E7749" w:rsidRPr="00FB5C3E">
        <w:rPr>
          <w:rStyle w:val="FootnoteReference"/>
          <w:rFonts w:ascii="Calibri" w:eastAsia="Times New Roman" w:hAnsi="Calibri" w:cs="Calibri"/>
          <w:sz w:val="22"/>
          <w:szCs w:val="22"/>
        </w:rPr>
        <w:footnoteReference w:id="10"/>
      </w:r>
      <w:r>
        <w:rPr>
          <w:rFonts w:ascii="Calibri" w:hAnsi="Calibri"/>
          <w:sz w:val="22"/>
        </w:rPr>
        <w:t>.</w:t>
      </w:r>
    </w:p>
    <w:p w14:paraId="14EC1506" w14:textId="75720FBD" w:rsidR="00E3504D" w:rsidRPr="00FB5C3E" w:rsidRDefault="00E3504D" w:rsidP="007D3825">
      <w:pPr>
        <w:widowControl w:val="0"/>
        <w:rPr>
          <w:rFonts w:ascii="Calibri" w:eastAsia="Times New Roman" w:hAnsi="Calibri" w:cs="Calibri"/>
          <w:sz w:val="22"/>
          <w:szCs w:val="22"/>
        </w:rPr>
      </w:pPr>
    </w:p>
    <w:p w14:paraId="2E2F4857" w14:textId="2BAA9124" w:rsidR="00E3504D" w:rsidRPr="00FB5C3E" w:rsidRDefault="005E7749" w:rsidP="007D3825">
      <w:pPr>
        <w:widowControl w:val="0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hAnsi="Calibri"/>
          <w:sz w:val="22"/>
        </w:rPr>
        <w:t>Uma análise do Inquérito de Indicadores Múltiplos de 2010 mostrou que</w:t>
      </w:r>
      <w:r w:rsidR="008D2037">
        <w:rPr>
          <w:rFonts w:ascii="Calibri" w:hAnsi="Calibri"/>
          <w:sz w:val="22"/>
        </w:rPr>
        <w:t>,</w:t>
      </w:r>
      <w:r>
        <w:rPr>
          <w:rFonts w:ascii="Calibri" w:hAnsi="Calibri"/>
          <w:sz w:val="22"/>
        </w:rPr>
        <w:t xml:space="preserve"> entre aqueles que têm acesso a um MTI na RCA, a utilização é geralmente elevada em todo o país e ao longo d</w:t>
      </w:r>
      <w:r w:rsidR="008D2037">
        <w:rPr>
          <w:rFonts w:ascii="Calibri" w:hAnsi="Calibri"/>
          <w:sz w:val="22"/>
        </w:rPr>
        <w:t>e todo o</w:t>
      </w:r>
      <w:r>
        <w:rPr>
          <w:rFonts w:ascii="Calibri" w:hAnsi="Calibri"/>
          <w:sz w:val="22"/>
        </w:rPr>
        <w:t xml:space="preserve"> ano e também bastante uniforme entre os quintis de riqueza e as zonas urbanas e rurais</w:t>
      </w:r>
      <w:r w:rsidR="00DD2D8D" w:rsidRPr="00FB5C3E">
        <w:rPr>
          <w:rStyle w:val="FootnoteReference"/>
          <w:rFonts w:ascii="Calibri" w:eastAsia="Times New Roman" w:hAnsi="Calibri" w:cs="Calibri"/>
          <w:sz w:val="22"/>
          <w:szCs w:val="22"/>
        </w:rPr>
        <w:footnoteReference w:id="11"/>
      </w:r>
      <w:r>
        <w:rPr>
          <w:rFonts w:ascii="Calibri" w:hAnsi="Calibri"/>
          <w:sz w:val="22"/>
        </w:rPr>
        <w:t xml:space="preserve">. </w:t>
      </w:r>
    </w:p>
    <w:p w14:paraId="76EB0126" w14:textId="48E69434" w:rsidR="00B72099" w:rsidRPr="00FB5C3E" w:rsidRDefault="003A764C" w:rsidP="007D3825">
      <w:pPr>
        <w:widowControl w:val="0"/>
        <w:rPr>
          <w:rFonts w:ascii="Calibri" w:eastAsia="Times New Roman" w:hAnsi="Calibri" w:cs="Calibri"/>
          <w:color w:val="000000" w:themeColor="text1"/>
          <w:sz w:val="22"/>
          <w:szCs w:val="22"/>
          <w:shd w:val="clear" w:color="auto" w:fill="FFFFFF"/>
        </w:rPr>
      </w:pPr>
      <w:r>
        <w:rPr>
          <w:rFonts w:ascii="Calibri" w:hAnsi="Calibri"/>
          <w:noProof/>
          <w:sz w:val="22"/>
          <w:lang w:val="de-CH"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4CB92E" wp14:editId="3BFA7792">
                <wp:simplePos x="0" y="0"/>
                <wp:positionH relativeFrom="column">
                  <wp:posOffset>1809750</wp:posOffset>
                </wp:positionH>
                <wp:positionV relativeFrom="paragraph">
                  <wp:posOffset>3810</wp:posOffset>
                </wp:positionV>
                <wp:extent cx="4224020" cy="428625"/>
                <wp:effectExtent l="0" t="0" r="5080" b="952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402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D20111" w14:textId="110CDF8D" w:rsidR="00EA62B5" w:rsidRPr="00940BF6" w:rsidRDefault="00EA62B5" w:rsidP="005E7749">
                            <w:pPr>
                              <w:ind w:left="270"/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z w:val="20"/>
                              </w:rPr>
                              <w:t>Figura 2: Utilização de MTI por idade na RCA</w:t>
                            </w:r>
                          </w:p>
                          <w:p w14:paraId="5602EB20" w14:textId="4AB734C7" w:rsidR="00EA62B5" w:rsidRPr="00940BF6" w:rsidRDefault="00EA62B5" w:rsidP="005E7749">
                            <w:pPr>
                              <w:ind w:left="270"/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z w:val="20"/>
                              </w:rPr>
                              <w:t xml:space="preserve">Fonte: Inquérito Nacional de Indicadores da Malária, RCA, </w:t>
                            </w:r>
                            <w:r w:rsidR="008D2037">
                              <w:rPr>
                                <w:rFonts w:ascii="Calibri" w:hAnsi="Calibri"/>
                                <w:i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ascii="Calibri" w:hAnsi="Calibri"/>
                                <w:i/>
                                <w:sz w:val="20"/>
                              </w:rPr>
                              <w:t>aio</w:t>
                            </w:r>
                            <w:r w:rsidR="008D2037">
                              <w:rPr>
                                <w:rFonts w:ascii="Calibri" w:hAnsi="Calibri"/>
                                <w:i/>
                                <w:sz w:val="20"/>
                              </w:rPr>
                              <w:t xml:space="preserve"> de</w:t>
                            </w:r>
                            <w:r>
                              <w:rPr>
                                <w:rFonts w:ascii="Calibri" w:hAnsi="Calibri"/>
                                <w:i/>
                                <w:sz w:val="20"/>
                              </w:rPr>
                              <w:t xml:space="preserve">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CB92E" id="Text Box 5" o:spid="_x0000_s1029" type="#_x0000_t202" style="position:absolute;margin-left:142.5pt;margin-top:.3pt;width:332.6pt;height:3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" fillcolor="white [3201]" stroked="f" strokeweight=".5pt">
                <v:textbox>
                  <w:txbxContent>
                    <w:p w14:paraId="08D20111" w14:textId="110CDF8D" w:rsidR="00EA62B5" w:rsidRPr="00940BF6" w:rsidRDefault="00EA62B5" w:rsidP="005E7749">
                      <w:pPr>
                        <w:ind w:left="270"/>
                        <w:rPr>
                          <w:rFonts w:ascii="Calibri" w:hAnsi="Calibri" w:cs="Calibri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i/>
                          <w:sz w:val="20"/>
                        </w:rPr>
                        <w:t>Figura 2: Utilização de MTI por idade na RCA</w:t>
                      </w:r>
                    </w:p>
                    <w:p w14:paraId="5602EB20" w14:textId="4AB734C7" w:rsidR="00EA62B5" w:rsidRPr="00940BF6" w:rsidRDefault="00EA62B5" w:rsidP="005E7749">
                      <w:pPr>
                        <w:ind w:left="270"/>
                        <w:rPr>
                          <w:rFonts w:ascii="Calibri" w:hAnsi="Calibri" w:cs="Calibri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i/>
                          <w:sz w:val="20"/>
                        </w:rPr>
                        <w:t xml:space="preserve">Fonte: Inquérito Nacional de Indicadores da Malária, RCA, </w:t>
                      </w:r>
                      <w:r w:rsidR="008D2037">
                        <w:rPr>
                          <w:rFonts w:ascii="Calibri" w:hAnsi="Calibri"/>
                          <w:i/>
                          <w:sz w:val="20"/>
                        </w:rPr>
                        <w:t>m</w:t>
                      </w:r>
                      <w:r>
                        <w:rPr>
                          <w:rFonts w:ascii="Calibri" w:hAnsi="Calibri"/>
                          <w:i/>
                          <w:sz w:val="20"/>
                        </w:rPr>
                        <w:t>aio</w:t>
                      </w:r>
                      <w:r w:rsidR="008D2037">
                        <w:rPr>
                          <w:rFonts w:ascii="Calibri" w:hAnsi="Calibri"/>
                          <w:i/>
                          <w:sz w:val="20"/>
                        </w:rPr>
                        <w:t xml:space="preserve"> de</w:t>
                      </w:r>
                      <w:r>
                        <w:rPr>
                          <w:rFonts w:ascii="Calibri" w:hAnsi="Calibri"/>
                          <w:i/>
                          <w:sz w:val="20"/>
                        </w:rPr>
                        <w:t xml:space="preserve"> 2016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94B28B" w14:textId="6CCB28BC" w:rsidR="00B72099" w:rsidRPr="00FB5C3E" w:rsidRDefault="00B72099" w:rsidP="001C2CFF">
      <w:pPr>
        <w:widowControl w:val="0"/>
        <w:rPr>
          <w:rFonts w:ascii="Calibri" w:eastAsia="Times New Roman" w:hAnsi="Calibri" w:cstheme="majorHAnsi"/>
          <w:bCs/>
          <w:color w:val="000000" w:themeColor="text1"/>
          <w:sz w:val="22"/>
          <w:szCs w:val="22"/>
        </w:rPr>
      </w:pPr>
      <w:r>
        <w:rPr>
          <w:rFonts w:ascii="Calibri" w:hAnsi="Calibri"/>
          <w:color w:val="000000" w:themeColor="text1"/>
          <w:sz w:val="22"/>
        </w:rPr>
        <w:t>O PNCM está também a alargar a gestão comunitária de casos de malária, diarreia, pneumonia, tuberculose e VIH com o apoio da WVI, da The Mentor Initiative, dos Médicos Sem Fronteiras (MSF) e do Fundo das Nações Unidas para a Infância (UNICEF).</w:t>
      </w:r>
    </w:p>
    <w:p w14:paraId="78C63AA1" w14:textId="77777777" w:rsidR="00FB5C3E" w:rsidRPr="00AD25AE" w:rsidRDefault="00FB5C3E" w:rsidP="007D3825">
      <w:pPr>
        <w:widowControl w:val="0"/>
        <w:rPr>
          <w:rFonts w:ascii="Calibri" w:eastAsia="Times New Roman" w:hAnsi="Calibri" w:cs="Calibri"/>
          <w:b/>
          <w:bCs/>
          <w:color w:val="000000" w:themeColor="text1"/>
        </w:rPr>
      </w:pPr>
    </w:p>
    <w:p w14:paraId="1D438F6C" w14:textId="1CDA2B92" w:rsidR="00AC2E8D" w:rsidRPr="00940BF6" w:rsidRDefault="00AC2E8D" w:rsidP="007D3825">
      <w:pPr>
        <w:widowControl w:val="0"/>
        <w:rPr>
          <w:rFonts w:ascii="Calibri" w:eastAsia="Times New Roman" w:hAnsi="Calibri" w:cs="Calibri"/>
          <w:b/>
          <w:bCs/>
          <w:color w:val="000000" w:themeColor="text1"/>
        </w:rPr>
      </w:pPr>
      <w:r>
        <w:rPr>
          <w:rFonts w:ascii="Calibri" w:hAnsi="Calibri"/>
          <w:b/>
          <w:color w:val="000000" w:themeColor="text1"/>
        </w:rPr>
        <w:t>COVID-19 na RCA</w:t>
      </w:r>
    </w:p>
    <w:p w14:paraId="4BEA009B" w14:textId="77777777" w:rsidR="00AC2E8D" w:rsidRPr="00AD25AE" w:rsidRDefault="00AC2E8D" w:rsidP="007D3825">
      <w:pPr>
        <w:widowControl w:val="0"/>
        <w:rPr>
          <w:rFonts w:ascii="Calibri" w:eastAsia="Times New Roman" w:hAnsi="Calibri" w:cstheme="majorHAnsi"/>
          <w:bCs/>
          <w:color w:val="000000" w:themeColor="text1"/>
          <w:sz w:val="22"/>
          <w:szCs w:val="22"/>
        </w:rPr>
      </w:pPr>
    </w:p>
    <w:p w14:paraId="4AEDA43B" w14:textId="0BBB38BD" w:rsidR="00037A7B" w:rsidRPr="00FA0AAA" w:rsidRDefault="001D1D5D" w:rsidP="005E34A9">
      <w:pPr>
        <w:autoSpaceDE w:val="0"/>
        <w:autoSpaceDN w:val="0"/>
        <w:adjustRightInd w:val="0"/>
        <w:rPr>
          <w:rFonts w:ascii="Calibri" w:hAnsi="Calibri" w:cs="`∆G»˛"/>
          <w:sz w:val="22"/>
          <w:szCs w:val="22"/>
        </w:rPr>
      </w:pPr>
      <w:r>
        <w:rPr>
          <w:rFonts w:ascii="Calibri" w:hAnsi="Calibri"/>
          <w:color w:val="000000" w:themeColor="text1"/>
          <w:sz w:val="22"/>
        </w:rPr>
        <w:t xml:space="preserve">O primeiro caso de COVID-19 na RCA foi relatado em M'Baiki em 14 de </w:t>
      </w:r>
      <w:r w:rsidR="008D2037">
        <w:rPr>
          <w:rFonts w:ascii="Calibri" w:hAnsi="Calibri"/>
          <w:color w:val="000000" w:themeColor="text1"/>
          <w:sz w:val="22"/>
        </w:rPr>
        <w:t>m</w:t>
      </w:r>
      <w:r>
        <w:rPr>
          <w:rFonts w:ascii="Calibri" w:hAnsi="Calibri"/>
          <w:color w:val="000000" w:themeColor="text1"/>
          <w:sz w:val="22"/>
        </w:rPr>
        <w:t>arço de 2020</w:t>
      </w:r>
      <w:r w:rsidR="0025276E" w:rsidRPr="00FB5C3E">
        <w:rPr>
          <w:rStyle w:val="FootnoteReference"/>
          <w:rFonts w:ascii="Calibri" w:eastAsia="Times New Roman" w:hAnsi="Calibri" w:cstheme="majorHAnsi"/>
          <w:bCs/>
          <w:color w:val="000000" w:themeColor="text1"/>
          <w:sz w:val="22"/>
          <w:szCs w:val="22"/>
          <w:lang w:val="en-GB"/>
        </w:rPr>
        <w:footnoteReference w:id="12"/>
      </w:r>
      <w:r>
        <w:rPr>
          <w:rFonts w:ascii="Calibri" w:hAnsi="Calibri"/>
          <w:color w:val="000000" w:themeColor="text1"/>
          <w:sz w:val="22"/>
        </w:rPr>
        <w:t>. Em meados de dezembro de 2020, foram noticiados 4 936 casos e 63 mortes</w:t>
      </w:r>
      <w:r w:rsidR="00B53AB2" w:rsidRPr="00FB5C3E">
        <w:rPr>
          <w:rStyle w:val="FootnoteReference"/>
          <w:rFonts w:ascii="Calibri" w:eastAsia="Times New Roman" w:hAnsi="Calibri" w:cstheme="majorHAnsi"/>
          <w:bCs/>
          <w:color w:val="000000" w:themeColor="text1"/>
          <w:sz w:val="22"/>
          <w:szCs w:val="22"/>
          <w:lang w:val="en-GB"/>
        </w:rPr>
        <w:footnoteReference w:id="13"/>
      </w:r>
      <w:r>
        <w:rPr>
          <w:rFonts w:ascii="Calibri" w:hAnsi="Calibri"/>
          <w:color w:val="000000" w:themeColor="text1"/>
          <w:sz w:val="22"/>
        </w:rPr>
        <w:t xml:space="preserve">. A pandemia levou ao encerramento de escolas entre março e outubro de 2020 e a um agravamento da crise humanitária. Alguns centros de saúde estão a receber apoio adicional para prevenir e controlar a COVID-19, incluindo equipamento de proteção, dispositivos de lavagem das mãos, e materiais </w:t>
      </w:r>
      <w:r>
        <w:rPr>
          <w:rFonts w:ascii="Calibri" w:hAnsi="Calibri"/>
          <w:color w:val="000000" w:themeColor="text1"/>
          <w:sz w:val="22"/>
        </w:rPr>
        <w:lastRenderedPageBreak/>
        <w:t>de limpeza e desinfeção. Este apoio é prestado pela Concern Worldwide com o financiamento da Irish Aid e de dois novos projetos do Gabinete de Assistência Humanitária da Agência dos Estados Unidos para o Desenvolvimento Internacional (USAID</w:t>
      </w:r>
      <w:r w:rsidR="00792639">
        <w:rPr>
          <w:rFonts w:ascii="Calibri" w:hAnsi="Calibri"/>
          <w:color w:val="000000" w:themeColor="text1"/>
          <w:sz w:val="22"/>
        </w:rPr>
        <w:t>-</w:t>
      </w:r>
      <w:r>
        <w:rPr>
          <w:rFonts w:ascii="Calibri" w:hAnsi="Calibri"/>
          <w:color w:val="000000" w:themeColor="text1"/>
          <w:sz w:val="22"/>
        </w:rPr>
        <w:t xml:space="preserve">BHA) e da UNICEF. Contudo, devido à «grave escassez de produtos básicos </w:t>
      </w:r>
      <w:r w:rsidR="00B31140">
        <w:rPr>
          <w:rFonts w:ascii="Calibri" w:hAnsi="Calibri"/>
          <w:color w:val="000000" w:themeColor="text1"/>
          <w:sz w:val="22"/>
        </w:rPr>
        <w:t>para a</w:t>
      </w:r>
      <w:r>
        <w:rPr>
          <w:rFonts w:ascii="Calibri" w:hAnsi="Calibri"/>
          <w:color w:val="000000" w:themeColor="text1"/>
          <w:sz w:val="22"/>
        </w:rPr>
        <w:t xml:space="preserve"> COVID-19», muitos centros e profissionais de saúde poderão não os ter em quantidade suficiente para prevenir e fazer a testagem à doença à medida que as necessidades aumentam</w:t>
      </w:r>
      <w:r w:rsidR="008A66F6" w:rsidRPr="00FB5C3E">
        <w:rPr>
          <w:rStyle w:val="FootnoteReference"/>
          <w:rFonts w:ascii="Calibri" w:eastAsia="Times New Roman" w:hAnsi="Calibri" w:cstheme="majorHAnsi"/>
          <w:bCs/>
          <w:color w:val="000000" w:themeColor="text1"/>
          <w:sz w:val="22"/>
          <w:szCs w:val="22"/>
          <w:lang w:val="en-GB"/>
        </w:rPr>
        <w:footnoteReference w:id="14"/>
      </w:r>
      <w:r>
        <w:rPr>
          <w:rFonts w:ascii="Calibri" w:hAnsi="Calibri"/>
          <w:color w:val="000000" w:themeColor="text1"/>
          <w:sz w:val="22"/>
        </w:rPr>
        <w:t>.</w:t>
      </w:r>
    </w:p>
    <w:p w14:paraId="3D017D19" w14:textId="77777777" w:rsidR="00037A7B" w:rsidRPr="00AD25AE" w:rsidRDefault="00037A7B" w:rsidP="00037A7B">
      <w:pPr>
        <w:widowControl w:val="0"/>
        <w:rPr>
          <w:rFonts w:ascii="Calibri" w:eastAsia="Times New Roman" w:hAnsi="Calibri" w:cs="Calibri"/>
          <w:sz w:val="22"/>
          <w:szCs w:val="22"/>
        </w:rPr>
      </w:pPr>
    </w:p>
    <w:p w14:paraId="7D290E0E" w14:textId="77777777" w:rsidR="00037A7B" w:rsidRPr="00FB5C3E" w:rsidRDefault="00037A7B" w:rsidP="00037A7B">
      <w:pPr>
        <w:widowControl w:val="0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hAnsi="Calibri"/>
          <w:sz w:val="22"/>
        </w:rPr>
        <w:t>A RCA foi um dos primeiros países a impor o uso de máscaras faciais. No entanto, a falta de máscaras nos mercados locais dificultou o cumprimento deste requisito. Em resposta, o MS trabalhou com o Banco Mundial para lançar um programa nacional de dinheiro por trabalho, o projeto LONDO</w:t>
      </w:r>
      <w:r w:rsidRPr="00FB5C3E">
        <w:rPr>
          <w:rStyle w:val="FootnoteReference"/>
          <w:rFonts w:ascii="Calibri" w:eastAsia="Times New Roman" w:hAnsi="Calibri" w:cs="Calibri"/>
          <w:sz w:val="22"/>
          <w:szCs w:val="22"/>
          <w:lang w:val="en-GB"/>
        </w:rPr>
        <w:footnoteReference w:id="15"/>
      </w:r>
      <w:r>
        <w:rPr>
          <w:rFonts w:ascii="Calibri" w:hAnsi="Calibri"/>
          <w:sz w:val="22"/>
        </w:rPr>
        <w:t>, que consiste em os alfaiates locais produzirem duas máscaras por pessoa, até dez milhões de máscaras.</w:t>
      </w:r>
    </w:p>
    <w:p w14:paraId="3264E2EF" w14:textId="6362B06E" w:rsidR="003260B5" w:rsidRPr="00AD25AE" w:rsidRDefault="003260B5" w:rsidP="007D3825">
      <w:pPr>
        <w:widowControl w:val="0"/>
        <w:rPr>
          <w:rFonts w:ascii="Calibri" w:eastAsia="Times New Roman" w:hAnsi="Calibri" w:cstheme="majorHAnsi"/>
          <w:bCs/>
          <w:color w:val="000000" w:themeColor="text1"/>
          <w:sz w:val="22"/>
          <w:szCs w:val="22"/>
        </w:rPr>
      </w:pPr>
    </w:p>
    <w:p w14:paraId="6621694A" w14:textId="27B33FB3" w:rsidR="0000052D" w:rsidRPr="00FB5C3E" w:rsidRDefault="003260B5" w:rsidP="007D3825">
      <w:pPr>
        <w:widowControl w:val="0"/>
        <w:rPr>
          <w:rFonts w:ascii="Calibri" w:eastAsia="Times New Roman" w:hAnsi="Calibri" w:cstheme="majorHAnsi"/>
          <w:bCs/>
          <w:color w:val="000000" w:themeColor="text1"/>
          <w:sz w:val="22"/>
          <w:szCs w:val="22"/>
        </w:rPr>
      </w:pPr>
      <w:r>
        <w:rPr>
          <w:rFonts w:ascii="Calibri" w:hAnsi="Calibri"/>
          <w:color w:val="000000" w:themeColor="text1"/>
          <w:sz w:val="22"/>
        </w:rPr>
        <w:t>A COVID-19 na RCA está agora a espalhar-se ao nível comunitário e o número de casos continua a aumentar. Ainda que prestação de serviços de saúde não tenha sido interrompida desde o primeiro caso de COVID-19 n</w:t>
      </w:r>
      <w:r w:rsidR="00B31140">
        <w:rPr>
          <w:rFonts w:ascii="Calibri" w:hAnsi="Calibri"/>
          <w:color w:val="000000" w:themeColor="text1"/>
          <w:sz w:val="22"/>
        </w:rPr>
        <w:t>o país</w:t>
      </w:r>
      <w:r>
        <w:rPr>
          <w:rFonts w:ascii="Calibri" w:hAnsi="Calibri"/>
          <w:color w:val="000000" w:themeColor="text1"/>
          <w:sz w:val="22"/>
        </w:rPr>
        <w:t>, estabeleceram-se restrições quanto ao número de pessoas permitidas nos centros de saúde. Inicialmente, os receios da população relativamente à COVID-19 também desencorajaram algumas pessoas de procurar cuidados em centros de saúde.</w:t>
      </w:r>
    </w:p>
    <w:p w14:paraId="7183CBE8" w14:textId="602E094F" w:rsidR="00E63553" w:rsidRPr="00AD25AE" w:rsidRDefault="00E63553" w:rsidP="007D3825">
      <w:pPr>
        <w:widowControl w:val="0"/>
        <w:rPr>
          <w:rFonts w:ascii="Calibri" w:eastAsia="Times New Roman" w:hAnsi="Calibri" w:cs="Calibri"/>
          <w:b/>
          <w:sz w:val="22"/>
          <w:szCs w:val="22"/>
        </w:rPr>
      </w:pPr>
    </w:p>
    <w:p w14:paraId="600313F0" w14:textId="7CA30322" w:rsidR="00940BF6" w:rsidRPr="00336789" w:rsidRDefault="00940BF6" w:rsidP="003A764C">
      <w:pPr>
        <w:widowControl w:val="0"/>
        <w:rPr>
          <w:rFonts w:ascii="Calibri" w:eastAsia="Times New Roman" w:hAnsi="Calibri" w:cs="Calibri"/>
        </w:rPr>
      </w:pPr>
      <w:r>
        <w:rPr>
          <w:rFonts w:ascii="Calibri" w:hAnsi="Calibri"/>
          <w:b/>
        </w:rPr>
        <w:t>Distribuição de MTI na RCA</w:t>
      </w:r>
      <w:r>
        <w:rPr>
          <w:rFonts w:ascii="Calibri" w:hAnsi="Calibri"/>
        </w:rPr>
        <w:t xml:space="preserve"> </w:t>
      </w:r>
    </w:p>
    <w:p w14:paraId="7120C18A" w14:textId="77777777" w:rsidR="00940BF6" w:rsidRPr="00AD25AE" w:rsidRDefault="00940BF6" w:rsidP="003A764C">
      <w:pPr>
        <w:widowControl w:val="0"/>
        <w:rPr>
          <w:rFonts w:ascii="Calibri" w:eastAsia="Times New Roman" w:hAnsi="Calibri" w:cs="Calibri"/>
          <w:sz w:val="22"/>
          <w:szCs w:val="22"/>
        </w:rPr>
      </w:pPr>
    </w:p>
    <w:p w14:paraId="10ADC5CB" w14:textId="0A03EA9D" w:rsidR="00940BF6" w:rsidRPr="00FB5C3E" w:rsidRDefault="00940BF6" w:rsidP="003A764C">
      <w:pPr>
        <w:widowControl w:val="0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hAnsi="Calibri"/>
          <w:sz w:val="22"/>
        </w:rPr>
        <w:t>Mais de 12,7 milhões de MTI foram entregues na RCA desde 2004</w:t>
      </w:r>
      <w:r w:rsidRPr="00FB5C3E">
        <w:rPr>
          <w:rStyle w:val="FootnoteReference"/>
          <w:rFonts w:ascii="Calibri" w:eastAsia="Times New Roman" w:hAnsi="Calibri" w:cs="Calibri"/>
          <w:sz w:val="22"/>
          <w:szCs w:val="22"/>
          <w:lang w:val="en-GB"/>
        </w:rPr>
        <w:footnoteReference w:id="16"/>
      </w:r>
      <w:r>
        <w:rPr>
          <w:rFonts w:ascii="Calibri" w:hAnsi="Calibri"/>
          <w:sz w:val="22"/>
        </w:rPr>
        <w:t xml:space="preserve"> e são atualmente distribuídos no país de forma gratuita através de três canais principais:</w:t>
      </w:r>
    </w:p>
    <w:p w14:paraId="7589BD8E" w14:textId="22679EC0" w:rsidR="00940BF6" w:rsidRPr="00FB5C3E" w:rsidRDefault="00B31140" w:rsidP="003A764C">
      <w:pPr>
        <w:pStyle w:val="ListParagraph"/>
        <w:widowControl w:val="0"/>
        <w:numPr>
          <w:ilvl w:val="0"/>
          <w:numId w:val="12"/>
        </w:numPr>
        <w:ind w:left="360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hAnsi="Calibri"/>
          <w:sz w:val="22"/>
        </w:rPr>
        <w:t>c</w:t>
      </w:r>
      <w:r w:rsidR="00A85982">
        <w:rPr>
          <w:rFonts w:ascii="Calibri" w:hAnsi="Calibri"/>
          <w:sz w:val="22"/>
        </w:rPr>
        <w:t>ampanhas de MTI dirigidas a crianças com menos de cinco anos desde 2005 e campanhas em massa de cobertura universal desde 2013 para fornecer um MTI a cada duas pessoas</w:t>
      </w:r>
    </w:p>
    <w:p w14:paraId="4039F55C" w14:textId="630D5F6E" w:rsidR="00940BF6" w:rsidRPr="00FB5C3E" w:rsidRDefault="00B31140" w:rsidP="003A764C">
      <w:pPr>
        <w:pStyle w:val="ListParagraph"/>
        <w:widowControl w:val="0"/>
        <w:numPr>
          <w:ilvl w:val="0"/>
          <w:numId w:val="12"/>
        </w:numPr>
        <w:ind w:left="360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hAnsi="Calibri"/>
          <w:sz w:val="22"/>
        </w:rPr>
        <w:t>d</w:t>
      </w:r>
      <w:r w:rsidR="009F1438">
        <w:rPr>
          <w:rFonts w:ascii="Calibri" w:hAnsi="Calibri"/>
          <w:sz w:val="22"/>
        </w:rPr>
        <w:t>esde 2015, serviços de rotina nos centros de saúde para mulheres grávidas durante a primeira visita de cuidados pré-natais (CPN) e crianças com menos de um ano na terceira dose da vacina pentavalente</w:t>
      </w:r>
      <w:r w:rsidR="00940BF6" w:rsidRPr="00FB5C3E">
        <w:rPr>
          <w:rStyle w:val="FootnoteReference"/>
          <w:rFonts w:ascii="Calibri" w:eastAsia="Times New Roman" w:hAnsi="Calibri" w:cs="Calibri"/>
          <w:sz w:val="22"/>
          <w:szCs w:val="22"/>
          <w:lang w:val="en-GB"/>
        </w:rPr>
        <w:footnoteReference w:id="17"/>
      </w:r>
    </w:p>
    <w:p w14:paraId="0A869F2B" w14:textId="275E8BBD" w:rsidR="00940BF6" w:rsidRPr="00FB5C3E" w:rsidRDefault="00B31140" w:rsidP="003A764C">
      <w:pPr>
        <w:pStyle w:val="ListParagraph"/>
        <w:widowControl w:val="0"/>
        <w:numPr>
          <w:ilvl w:val="0"/>
          <w:numId w:val="12"/>
        </w:numPr>
        <w:ind w:left="360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hAnsi="Calibri"/>
          <w:sz w:val="22"/>
        </w:rPr>
        <w:t>d</w:t>
      </w:r>
      <w:r w:rsidR="00940BF6">
        <w:rPr>
          <w:rFonts w:ascii="Calibri" w:hAnsi="Calibri"/>
          <w:sz w:val="22"/>
        </w:rPr>
        <w:t xml:space="preserve">istribuição direta </w:t>
      </w:r>
      <w:r>
        <w:rPr>
          <w:rFonts w:ascii="Calibri" w:hAnsi="Calibri"/>
          <w:sz w:val="22"/>
        </w:rPr>
        <w:t>por</w:t>
      </w:r>
      <w:r w:rsidR="00940BF6">
        <w:rPr>
          <w:rFonts w:ascii="Calibri" w:hAnsi="Calibri"/>
          <w:sz w:val="22"/>
        </w:rPr>
        <w:t xml:space="preserve"> grupos especiais, por exemplo</w:t>
      </w:r>
      <w:r>
        <w:rPr>
          <w:rFonts w:ascii="Calibri" w:hAnsi="Calibri"/>
          <w:sz w:val="22"/>
        </w:rPr>
        <w:t>,</w:t>
      </w:r>
      <w:r w:rsidR="00940BF6">
        <w:rPr>
          <w:rFonts w:ascii="Calibri" w:hAnsi="Calibri"/>
          <w:sz w:val="22"/>
        </w:rPr>
        <w:t xml:space="preserve"> em campos para pessoas deslocadas internamente, refugiados, internatos, hospitais, prisões, grupos de Peulh e de pigmeus, aldeias piscatórias e quartéis militares</w:t>
      </w:r>
      <w:r w:rsidR="00940BF6" w:rsidRPr="00FB5C3E">
        <w:rPr>
          <w:rStyle w:val="FootnoteReference"/>
          <w:rFonts w:ascii="Calibri" w:eastAsia="Times New Roman" w:hAnsi="Calibri" w:cs="Calibri"/>
          <w:sz w:val="22"/>
          <w:szCs w:val="22"/>
          <w:lang w:val="en-GB"/>
        </w:rPr>
        <w:footnoteReference w:id="18"/>
      </w:r>
    </w:p>
    <w:p w14:paraId="6994F8CE" w14:textId="77777777" w:rsidR="00940BF6" w:rsidRPr="00AD25AE" w:rsidRDefault="00940BF6" w:rsidP="007D3825">
      <w:pPr>
        <w:widowControl w:val="0"/>
        <w:rPr>
          <w:rFonts w:ascii="Calibri" w:eastAsia="Times New Roman" w:hAnsi="Calibri" w:cs="Calibri"/>
          <w:sz w:val="22"/>
          <w:szCs w:val="22"/>
        </w:rPr>
      </w:pPr>
    </w:p>
    <w:p w14:paraId="1319DBEB" w14:textId="5431A93E" w:rsidR="00940BF6" w:rsidRDefault="00940BF6" w:rsidP="007D3825">
      <w:pPr>
        <w:widowControl w:val="0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hAnsi="Calibri"/>
          <w:sz w:val="22"/>
        </w:rPr>
        <w:t>O Plano Estratégico Nacional para a Malária também inclui estratégias que podem ser futuramente consideradas para a distribuição de MTI, mas que o PNCM ainda não implementou</w:t>
      </w:r>
      <w:r w:rsidR="00616A57">
        <w:rPr>
          <w:rFonts w:ascii="Calibri" w:hAnsi="Calibri"/>
          <w:sz w:val="22"/>
        </w:rPr>
        <w:t>, e que</w:t>
      </w:r>
      <w:r>
        <w:rPr>
          <w:rFonts w:ascii="Calibri" w:hAnsi="Calibri"/>
          <w:sz w:val="22"/>
        </w:rPr>
        <w:t xml:space="preserve"> </w:t>
      </w:r>
      <w:r w:rsidR="00616A57">
        <w:rPr>
          <w:rFonts w:ascii="Calibri" w:hAnsi="Calibri"/>
          <w:sz w:val="22"/>
        </w:rPr>
        <w:t>passam pela</w:t>
      </w:r>
      <w:r>
        <w:rPr>
          <w:rFonts w:ascii="Calibri" w:hAnsi="Calibri"/>
          <w:sz w:val="22"/>
        </w:rPr>
        <w:t xml:space="preserve"> distribuição de MTI nas escolas e ao nível comunitário</w:t>
      </w:r>
      <w:r w:rsidRPr="00336789">
        <w:rPr>
          <w:rStyle w:val="FootnoteReference"/>
          <w:rFonts w:ascii="Calibri" w:eastAsia="Times New Roman" w:hAnsi="Calibri" w:cs="Calibri"/>
          <w:sz w:val="22"/>
          <w:szCs w:val="22"/>
          <w:lang w:val="en-GB"/>
        </w:rPr>
        <w:footnoteReference w:id="19"/>
      </w:r>
      <w:r>
        <w:rPr>
          <w:rFonts w:ascii="Calibri" w:hAnsi="Calibri"/>
          <w:sz w:val="22"/>
        </w:rPr>
        <w:t xml:space="preserve">. </w:t>
      </w:r>
    </w:p>
    <w:p w14:paraId="1CDD777D" w14:textId="77777777" w:rsidR="002D0D6F" w:rsidRPr="00AD25AE" w:rsidRDefault="002D0D6F" w:rsidP="007D3825">
      <w:pPr>
        <w:widowControl w:val="0"/>
        <w:rPr>
          <w:rFonts w:ascii="Calibri" w:eastAsia="Times New Roman" w:hAnsi="Calibri" w:cs="Calibri"/>
          <w:sz w:val="22"/>
          <w:szCs w:val="22"/>
        </w:rPr>
      </w:pPr>
    </w:p>
    <w:p w14:paraId="237C6F90" w14:textId="77777777" w:rsidR="00616A57" w:rsidRDefault="00616A57" w:rsidP="005E34A9">
      <w:pPr>
        <w:widowControl w:val="0"/>
        <w:rPr>
          <w:rFonts w:ascii="Calibri" w:hAnsi="Calibri"/>
          <w:sz w:val="22"/>
        </w:rPr>
      </w:pPr>
    </w:p>
    <w:p w14:paraId="157CE630" w14:textId="1E54890C" w:rsidR="002D0D6F" w:rsidRDefault="000411C0" w:rsidP="007D3825">
      <w:pPr>
        <w:widowControl w:val="0"/>
        <w:rPr>
          <w:rFonts w:ascii="Calibri" w:hAnsi="Calibri"/>
          <w:b/>
          <w:color w:val="000000" w:themeColor="text1"/>
        </w:rPr>
      </w:pPr>
      <w:r w:rsidRPr="000411C0">
        <w:rPr>
          <w:rFonts w:ascii="Calibri" w:hAnsi="Calibri"/>
          <w:b/>
          <w:color w:val="000000" w:themeColor="text1"/>
        </w:rPr>
        <w:lastRenderedPageBreak/>
        <w:t>Mitigar os efeitos da COVID-19 e de outros desafios para manter o acesso aos MTI na RCA</w:t>
      </w:r>
    </w:p>
    <w:p w14:paraId="2C1A522D" w14:textId="77777777" w:rsidR="000411C0" w:rsidRPr="00AD25AE" w:rsidRDefault="000411C0" w:rsidP="007D3825">
      <w:pPr>
        <w:widowControl w:val="0"/>
        <w:rPr>
          <w:rFonts w:ascii="Calibri" w:eastAsia="Times New Roman" w:hAnsi="Calibri" w:cs="Calibri"/>
          <w:sz w:val="22"/>
          <w:szCs w:val="22"/>
        </w:rPr>
      </w:pPr>
    </w:p>
    <w:p w14:paraId="2194EE6D" w14:textId="1868163A" w:rsidR="00B95536" w:rsidRPr="00FB5C3E" w:rsidRDefault="006D6F72" w:rsidP="007D3825">
      <w:pPr>
        <w:widowControl w:val="0"/>
        <w:rPr>
          <w:rFonts w:ascii="Calibri" w:eastAsia="Times New Roman" w:hAnsi="Calibri" w:cstheme="majorHAnsi"/>
          <w:bCs/>
          <w:color w:val="000000" w:themeColor="text1"/>
          <w:sz w:val="22"/>
          <w:szCs w:val="22"/>
        </w:rPr>
      </w:pPr>
      <w:r>
        <w:rPr>
          <w:rFonts w:ascii="Calibri" w:hAnsi="Calibri"/>
          <w:sz w:val="22"/>
        </w:rPr>
        <w:t>Apesar dos desafios relacionados com a COVID-19, o PNCM está a empreender numerosas iniciativas para alcançar o objetivo de controlo vetorial do Plano Estratégico Nacional para a Malária e as metas de acesso e uso de MTI.</w:t>
      </w:r>
      <w:r>
        <w:rPr>
          <w:rFonts w:ascii="Calibri" w:hAnsi="Calibri"/>
          <w:color w:val="000000" w:themeColor="text1"/>
          <w:sz w:val="22"/>
        </w:rPr>
        <w:t xml:space="preserve"> </w:t>
      </w:r>
    </w:p>
    <w:p w14:paraId="291DBBFD" w14:textId="77777777" w:rsidR="00B95536" w:rsidRPr="00AD25AE" w:rsidRDefault="00B95536" w:rsidP="007D3825">
      <w:pPr>
        <w:widowControl w:val="0"/>
        <w:rPr>
          <w:rFonts w:ascii="Calibri" w:eastAsia="Times New Roman" w:hAnsi="Calibri" w:cstheme="majorHAnsi"/>
          <w:bCs/>
          <w:color w:val="000000" w:themeColor="text1"/>
          <w:sz w:val="22"/>
          <w:szCs w:val="22"/>
        </w:rPr>
      </w:pPr>
    </w:p>
    <w:p w14:paraId="727BB06E" w14:textId="2CA97931" w:rsidR="00654A3E" w:rsidRPr="00E57D64" w:rsidRDefault="00B95536" w:rsidP="00654A3E">
      <w:pPr>
        <w:rPr>
          <w:rFonts w:ascii="Calibri" w:eastAsia="Times New Roman" w:hAnsi="Calibri" w:cs="Times New Roman"/>
          <w:sz w:val="22"/>
          <w:szCs w:val="22"/>
        </w:rPr>
      </w:pPr>
      <w:r>
        <w:rPr>
          <w:rFonts w:ascii="Calibri" w:hAnsi="Calibri"/>
          <w:color w:val="000000" w:themeColor="text1"/>
          <w:sz w:val="22"/>
        </w:rPr>
        <w:t xml:space="preserve">De janeiro a junho de 2020, o </w:t>
      </w:r>
      <w:r w:rsidR="00A97039">
        <w:rPr>
          <w:rFonts w:ascii="Calibri" w:hAnsi="Calibri"/>
          <w:color w:val="000000" w:themeColor="text1"/>
          <w:sz w:val="22"/>
        </w:rPr>
        <w:t>PNCM</w:t>
      </w:r>
      <w:r>
        <w:rPr>
          <w:rFonts w:ascii="Calibri" w:hAnsi="Calibri"/>
          <w:color w:val="000000" w:themeColor="text1"/>
          <w:sz w:val="22"/>
        </w:rPr>
        <w:t xml:space="preserve"> distribuiu mais MTI por mulheres grávidas e crianças com menos de um ano do que durante o mesmo período em 2019. Isto inclui 20 726 MTI distribuídos por crianças com menos de um ano e 38 773 MTI entregues a mulheres grávidas através de serviços de saúde de rotina entre janeiro e junho de 2020. Estes números representam um aumento de 55 % em relação aos 13 392 MTI distribuídos por crianças com menos de um ano e um aumento de 49 % em relação aos 26 058 MTI entregues a mulheres grávidas na RCA em 2019 antes da COVID-19. </w:t>
      </w:r>
      <w:r>
        <w:rPr>
          <w:rFonts w:ascii="Calibri" w:hAnsi="Calibri"/>
          <w:sz w:val="22"/>
        </w:rPr>
        <w:t xml:space="preserve">Além disso, foram distribuídos mais 127 975 MTI </w:t>
      </w:r>
      <w:r w:rsidR="00A97039">
        <w:rPr>
          <w:rFonts w:ascii="Calibri" w:hAnsi="Calibri"/>
          <w:sz w:val="22"/>
        </w:rPr>
        <w:t>por</w:t>
      </w:r>
      <w:r>
        <w:rPr>
          <w:rFonts w:ascii="Calibri" w:hAnsi="Calibri"/>
          <w:sz w:val="22"/>
        </w:rPr>
        <w:t xml:space="preserve"> pessoas deslocadas internamente e sobreviventes de catástrofes naturais</w:t>
      </w:r>
      <w:r w:rsidR="009E4809" w:rsidRPr="00E57D64">
        <w:rPr>
          <w:rStyle w:val="FootnoteReference"/>
          <w:rFonts w:ascii="Calibri" w:eastAsia="Times New Roman" w:hAnsi="Calibri" w:cs="Calibri"/>
          <w:bCs/>
          <w:color w:val="000000" w:themeColor="text1"/>
          <w:sz w:val="22"/>
          <w:szCs w:val="22"/>
          <w:lang w:val="en-GB"/>
        </w:rPr>
        <w:footnoteReference w:id="20"/>
      </w:r>
      <w:r>
        <w:rPr>
          <w:rFonts w:ascii="Calibri" w:hAnsi="Calibri"/>
          <w:sz w:val="22"/>
        </w:rPr>
        <w:t>.</w:t>
      </w:r>
      <w:r>
        <w:rPr>
          <w:rFonts w:ascii="Calibri" w:hAnsi="Calibri"/>
          <w:color w:val="000000"/>
          <w:sz w:val="22"/>
        </w:rPr>
        <w:t xml:space="preserve"> O PNCM aumentou o enfoque nas regiões fronteiriças com os Camarões, incluindo as de Bouar, Berbérati e Gamboula, para evitar o risco de epidemias nestas áreas</w:t>
      </w:r>
      <w:r w:rsidR="009E361A" w:rsidRPr="00E57D64">
        <w:rPr>
          <w:rStyle w:val="FootnoteReference"/>
          <w:rFonts w:ascii="Calibri" w:eastAsia="Times New Roman" w:hAnsi="Calibri" w:cs="Calibri"/>
          <w:color w:val="000000"/>
          <w:sz w:val="22"/>
          <w:szCs w:val="22"/>
        </w:rPr>
        <w:footnoteReference w:id="21"/>
      </w:r>
      <w:r>
        <w:rPr>
          <w:rFonts w:ascii="Calibri" w:hAnsi="Calibri"/>
          <w:color w:val="000000"/>
          <w:sz w:val="22"/>
        </w:rPr>
        <w:t>. O P</w:t>
      </w:r>
      <w:r w:rsidR="00A97039">
        <w:rPr>
          <w:rFonts w:ascii="Calibri" w:hAnsi="Calibri"/>
          <w:color w:val="000000"/>
          <w:sz w:val="22"/>
        </w:rPr>
        <w:t>NC</w:t>
      </w:r>
      <w:r>
        <w:rPr>
          <w:rFonts w:ascii="Calibri" w:hAnsi="Calibri"/>
          <w:color w:val="000000"/>
          <w:sz w:val="22"/>
        </w:rPr>
        <w:t>M está também a distribuir mais de 916 000 MTI em 2020 através de uma campanha em massa porta a porta na região de saúde 1 e em cinco subprefeituras da região de saúde 3</w:t>
      </w:r>
      <w:r w:rsidR="009E361A" w:rsidRPr="00E57D64">
        <w:rPr>
          <w:rStyle w:val="FootnoteReference"/>
          <w:rFonts w:ascii="Calibri" w:eastAsia="Times New Roman" w:hAnsi="Calibri" w:cs="Calibri"/>
          <w:color w:val="000000"/>
          <w:sz w:val="22"/>
          <w:szCs w:val="22"/>
        </w:rPr>
        <w:footnoteReference w:id="22"/>
      </w:r>
      <w:r>
        <w:rPr>
          <w:rFonts w:ascii="Calibri" w:hAnsi="Calibri"/>
          <w:color w:val="000000"/>
          <w:sz w:val="22"/>
        </w:rPr>
        <w:t xml:space="preserve">. </w:t>
      </w:r>
      <w:r>
        <w:rPr>
          <w:rFonts w:ascii="Calibri" w:hAnsi="Calibri"/>
          <w:sz w:val="22"/>
        </w:rPr>
        <w:t>A partir de 2021, como parte da nova candidatura ao Fundo Global, o PNCM planeou adquirir e distribuir MTI piretróides com butóxido de piperonilo sinérgico (PBO) para responder à resistência</w:t>
      </w:r>
      <w:r w:rsidR="00A97039">
        <w:rPr>
          <w:rFonts w:ascii="Calibri" w:hAnsi="Calibri"/>
          <w:sz w:val="22"/>
        </w:rPr>
        <w:t xml:space="preserve"> </w:t>
      </w:r>
      <w:r>
        <w:rPr>
          <w:rFonts w:ascii="Calibri" w:hAnsi="Calibri"/>
          <w:sz w:val="22"/>
        </w:rPr>
        <w:t xml:space="preserve">aos inseticidas </w:t>
      </w:r>
      <w:r w:rsidR="00A97039">
        <w:rPr>
          <w:rFonts w:ascii="Calibri" w:hAnsi="Calibri"/>
          <w:sz w:val="22"/>
        </w:rPr>
        <w:t xml:space="preserve">documentada </w:t>
      </w:r>
      <w:r>
        <w:rPr>
          <w:rFonts w:ascii="Calibri" w:hAnsi="Calibri"/>
          <w:sz w:val="22"/>
        </w:rPr>
        <w:t>em cinco das sete regiões da RCA.</w:t>
      </w:r>
      <w:r>
        <w:rPr>
          <w:rFonts w:ascii="Calibri" w:hAnsi="Calibri"/>
          <w:color w:val="333333"/>
          <w:sz w:val="22"/>
          <w:shd w:val="clear" w:color="auto" w:fill="FFFFFF"/>
        </w:rPr>
        <w:t xml:space="preserve"> </w:t>
      </w:r>
    </w:p>
    <w:p w14:paraId="3E0F2684" w14:textId="77777777" w:rsidR="008E2CF5" w:rsidRPr="00E57D64" w:rsidRDefault="008E2CF5" w:rsidP="007D3825">
      <w:pPr>
        <w:widowControl w:val="0"/>
        <w:rPr>
          <w:rFonts w:ascii="Calibri" w:eastAsia="Times New Roman" w:hAnsi="Calibri" w:cs="Calibri"/>
          <w:color w:val="000000"/>
          <w:sz w:val="22"/>
          <w:szCs w:val="22"/>
        </w:rPr>
      </w:pPr>
    </w:p>
    <w:p w14:paraId="79C533E6" w14:textId="0F9813A5" w:rsidR="00EB1FBA" w:rsidRPr="00E57D64" w:rsidRDefault="008E2CF5" w:rsidP="007D3825">
      <w:pPr>
        <w:widowControl w:val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</w:rPr>
        <w:t xml:space="preserve">Embora os números </w:t>
      </w:r>
      <w:r w:rsidR="00A97039">
        <w:rPr>
          <w:rFonts w:ascii="Calibri" w:hAnsi="Calibri"/>
          <w:sz w:val="22"/>
        </w:rPr>
        <w:t>anteriores</w:t>
      </w:r>
      <w:r>
        <w:rPr>
          <w:rFonts w:ascii="Calibri" w:hAnsi="Calibri"/>
          <w:sz w:val="22"/>
        </w:rPr>
        <w:t xml:space="preserve"> evidenciem um progresso significativo na distribuição de MTI na RCA em 2020, continua a ser muito difícil </w:t>
      </w:r>
      <w:r w:rsidR="003E1F13">
        <w:rPr>
          <w:rFonts w:ascii="Calibri" w:hAnsi="Calibri"/>
          <w:sz w:val="22"/>
        </w:rPr>
        <w:t>alcançar</w:t>
      </w:r>
      <w:r>
        <w:rPr>
          <w:rFonts w:ascii="Calibri" w:hAnsi="Calibri"/>
          <w:sz w:val="22"/>
        </w:rPr>
        <w:t xml:space="preserve"> e manter uma cobertura universal em todo o país. Por exemplo, embora mais mulheres grávidas e crianças com menos de um ano tenham recebido MTI durante os serviços de rotina em 2020, o número de MTI distribuídos alcança menos de 30 % destas populações vulneráveis. </w:t>
      </w:r>
    </w:p>
    <w:p w14:paraId="7A4F115E" w14:textId="465A3D5B" w:rsidR="00EB1FBA" w:rsidRPr="00E57D64" w:rsidRDefault="00EB1FBA" w:rsidP="007D3825">
      <w:pPr>
        <w:widowControl w:val="0"/>
        <w:rPr>
          <w:rFonts w:ascii="Calibri" w:hAnsi="Calibri"/>
          <w:sz w:val="22"/>
          <w:szCs w:val="22"/>
        </w:rPr>
      </w:pPr>
    </w:p>
    <w:p w14:paraId="32B5CEAD" w14:textId="6647C3FA" w:rsidR="004A49A0" w:rsidRPr="00FB5C3E" w:rsidRDefault="004A49A0" w:rsidP="004A49A0">
      <w:pPr>
        <w:widowControl w:val="0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hAnsi="Calibri"/>
          <w:sz w:val="22"/>
        </w:rPr>
        <w:t xml:space="preserve">O PNCM e a WVI colaboraram com o grupo de trabalho nacional da COVID-19 no sentido de harmonizar as mensagens de malária com as mensagens nacionais da pandemia. Num esforço conjunto, criaram mensagens para tranquilizar e encorajar a população a continuar a ir os centros de saúde para consultas e tratamentos de rotina — em todas as áreas da saúde, incluindo a malária. Esta abordagem ajudou a aumentar a sensibilização para a disponibilidade de testes à COVID-19 e </w:t>
      </w:r>
      <w:r w:rsidR="003E1F13">
        <w:rPr>
          <w:rFonts w:ascii="Calibri" w:hAnsi="Calibri"/>
          <w:sz w:val="22"/>
        </w:rPr>
        <w:t>para</w:t>
      </w:r>
      <w:r>
        <w:rPr>
          <w:rFonts w:ascii="Calibri" w:hAnsi="Calibri"/>
          <w:sz w:val="22"/>
        </w:rPr>
        <w:t xml:space="preserve"> manter a procura esperada de testes de diagnóstico rápido da malária para casos suspeitos nos centros de saúde. </w:t>
      </w:r>
    </w:p>
    <w:p w14:paraId="3EE7A12B" w14:textId="77777777" w:rsidR="004A49A0" w:rsidRPr="00AD25AE" w:rsidRDefault="004A49A0" w:rsidP="004A49A0">
      <w:pPr>
        <w:widowControl w:val="0"/>
        <w:rPr>
          <w:rFonts w:ascii="Calibri" w:eastAsia="Times New Roman" w:hAnsi="Calibri" w:cs="Calibri"/>
          <w:sz w:val="22"/>
          <w:szCs w:val="22"/>
        </w:rPr>
      </w:pPr>
    </w:p>
    <w:p w14:paraId="20FB7810" w14:textId="5B8CA1FB" w:rsidR="00AB33A6" w:rsidRPr="00FB5C3E" w:rsidRDefault="00EB1FBA" w:rsidP="007D3825">
      <w:pPr>
        <w:widowControl w:val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</w:rPr>
        <w:t>Com o intuito de continuar a aumentar e a manter o acesso e a cobertura de MTI de harmonia com o Plano Estratégico Nacional para a Malária, o PNCM tem procurado continuamente iniciativas para ultrapassar os desafios relacionados com o financiamento insuficiente e a capacidade de contribui</w:t>
      </w:r>
      <w:r w:rsidR="003E1F13">
        <w:rPr>
          <w:rFonts w:ascii="Calibri" w:hAnsi="Calibri"/>
          <w:sz w:val="22"/>
        </w:rPr>
        <w:t>ç</w:t>
      </w:r>
      <w:r>
        <w:rPr>
          <w:rFonts w:ascii="Calibri" w:hAnsi="Calibri"/>
          <w:sz w:val="22"/>
        </w:rPr>
        <w:t xml:space="preserve">ão limitada do governo, dadas as prioridades concorrentes e, mais recentemente, a COVID-19. </w:t>
      </w:r>
    </w:p>
    <w:p w14:paraId="1502FFD9" w14:textId="77777777" w:rsidR="005E34A9" w:rsidRPr="00AD25AE" w:rsidRDefault="005E34A9" w:rsidP="008E2CF5">
      <w:pPr>
        <w:widowControl w:val="0"/>
        <w:rPr>
          <w:rFonts w:ascii="Calibri" w:eastAsia="Times New Roman" w:hAnsi="Calibri" w:cs="Calibri"/>
          <w:sz w:val="22"/>
          <w:szCs w:val="22"/>
        </w:rPr>
      </w:pPr>
    </w:p>
    <w:p w14:paraId="2F0881C8" w14:textId="046E050B" w:rsidR="00AB33A6" w:rsidRPr="00FB5C3E" w:rsidRDefault="008E2CF5" w:rsidP="008E2CF5">
      <w:pPr>
        <w:widowControl w:val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</w:rPr>
        <w:t>Com o Fundo Global, o PNCM desenvolveu um plano de resposta para os produtos de malária durante a COVID-19</w:t>
      </w:r>
      <w:r w:rsidR="00BD36D6">
        <w:rPr>
          <w:rFonts w:ascii="Calibri" w:hAnsi="Calibri"/>
          <w:sz w:val="22"/>
        </w:rPr>
        <w:t>, a fim de</w:t>
      </w:r>
      <w:r>
        <w:rPr>
          <w:rFonts w:ascii="Calibri" w:hAnsi="Calibri"/>
          <w:sz w:val="22"/>
        </w:rPr>
        <w:t xml:space="preserve"> assegurar níveis de estoque suficientes de todos os produtos de malária em caso de picos de procura devido à evolução da situação da COVID-19. As aquisições e envios globais de MTI para a RCA continuaram ininterruptamente em 2020, com a chegada de 500 000 MTI em julho. O PNCM estima que os atuais estoques de MTI serão suficientes para cobrir as necessidades de distribuição de rotina até junho de 2021. </w:t>
      </w:r>
    </w:p>
    <w:p w14:paraId="0C845F36" w14:textId="77777777" w:rsidR="008E2CF5" w:rsidRPr="00FB5C3E" w:rsidRDefault="008E2CF5" w:rsidP="008E2CF5">
      <w:pPr>
        <w:widowControl w:val="0"/>
        <w:rPr>
          <w:rFonts w:ascii="Calibri" w:eastAsia="Times New Roman" w:hAnsi="Calibri" w:cs="Calibri"/>
          <w:sz w:val="22"/>
          <w:szCs w:val="22"/>
        </w:rPr>
      </w:pPr>
    </w:p>
    <w:p w14:paraId="103F7662" w14:textId="6D30A272" w:rsidR="008E2CF5" w:rsidRPr="00FB5C3E" w:rsidRDefault="00AB33A6" w:rsidP="008E2CF5">
      <w:pPr>
        <w:widowControl w:val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</w:rPr>
        <w:t xml:space="preserve">Um dos maiores desafios para garantir o acesso aos MTI é a falta de financiamento específico para os transportar da capital das sete regiões de saúde para os centros de saúde. Dado que a atual subvenção do Fundo Global na RCA é a continuação do programa de subvenção anterior, ela mantém as características da candidatura precedente, não incluindo a distribuição contínua nem os custos com o transporte de MTI para as instalações de saúde para posterior distribuição durante os serviços de rotina de CPN e de vacinação. Na nova candidatura ao Fundo Global, cujo financiamento está previsto começar em 2021, o PNCM incluiu um orçamento destinado ao transporte de MTI para os centros de saúde, o que deverá assegurar um fornecimento contínuo de MTI aos grupos mais vulneráveis. </w:t>
      </w:r>
    </w:p>
    <w:p w14:paraId="29B7D8AC" w14:textId="77777777" w:rsidR="008E2CF5" w:rsidRPr="00AD25AE" w:rsidRDefault="008E2CF5" w:rsidP="008E2CF5">
      <w:pPr>
        <w:widowControl w:val="0"/>
        <w:rPr>
          <w:rFonts w:ascii="Calibri" w:eastAsia="Times New Roman" w:hAnsi="Calibri" w:cs="Calibri"/>
          <w:sz w:val="22"/>
          <w:szCs w:val="22"/>
        </w:rPr>
      </w:pPr>
    </w:p>
    <w:p w14:paraId="0BB5A123" w14:textId="45E9E182" w:rsidR="00EA62B5" w:rsidRDefault="00EA62B5" w:rsidP="008E2CF5">
      <w:pPr>
        <w:widowControl w:val="0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hAnsi="Calibri"/>
          <w:sz w:val="22"/>
        </w:rPr>
        <w:t xml:space="preserve">Visando superar os desafios de transporte de MTI, bem como os de segurança e acessibilidade anteriormente referidos, o PNCM apoia-se numa vasta e diversificada rede de parceiros humanitários e de saúde para assegurar o transporte e a disponibilidade dos MTI nos centros de saúde, sobretudo nas áreas de difícil acesso. O </w:t>
      </w:r>
      <w:r w:rsidR="00803071">
        <w:rPr>
          <w:rFonts w:ascii="Calibri" w:hAnsi="Calibri"/>
          <w:sz w:val="22"/>
        </w:rPr>
        <w:t>q</w:t>
      </w:r>
      <w:r>
        <w:rPr>
          <w:rFonts w:ascii="Calibri" w:hAnsi="Calibri"/>
          <w:sz w:val="22"/>
        </w:rPr>
        <w:t xml:space="preserve">uadro 1 apresenta uma lista parcial de parceiros que apoiam a distribuição de MTI na RCA. </w:t>
      </w:r>
    </w:p>
    <w:p w14:paraId="0276628E" w14:textId="1C5F9D1D" w:rsidR="00EA62B5" w:rsidRPr="00AD25AE" w:rsidRDefault="00EA62B5" w:rsidP="008E2CF5">
      <w:pPr>
        <w:widowControl w:val="0"/>
        <w:rPr>
          <w:rFonts w:ascii="Calibri" w:eastAsia="Times New Roman" w:hAnsi="Calibri" w:cs="Calibri"/>
          <w:sz w:val="22"/>
          <w:szCs w:val="22"/>
        </w:rPr>
      </w:pPr>
    </w:p>
    <w:p w14:paraId="1B1B1ADC" w14:textId="4C175F35" w:rsidR="00382E4D" w:rsidRPr="005E34A9" w:rsidRDefault="00382E4D" w:rsidP="008E2CF5">
      <w:pPr>
        <w:widowControl w:val="0"/>
        <w:rPr>
          <w:rFonts w:ascii="Calibri" w:eastAsia="Times New Roman" w:hAnsi="Calibri" w:cs="Calibri"/>
          <w:i/>
          <w:sz w:val="22"/>
          <w:szCs w:val="22"/>
        </w:rPr>
      </w:pPr>
      <w:r>
        <w:rPr>
          <w:rFonts w:ascii="Calibri" w:hAnsi="Calibri"/>
          <w:i/>
          <w:sz w:val="22"/>
        </w:rPr>
        <w:t xml:space="preserve">Quadro 1: Parceiros que prestam </w:t>
      </w:r>
      <w:r w:rsidR="00803071">
        <w:rPr>
          <w:rFonts w:ascii="Calibri" w:hAnsi="Calibri"/>
          <w:i/>
          <w:sz w:val="22"/>
        </w:rPr>
        <w:t>auxílio na</w:t>
      </w:r>
      <w:r>
        <w:rPr>
          <w:rFonts w:ascii="Calibri" w:hAnsi="Calibri"/>
          <w:i/>
          <w:sz w:val="22"/>
        </w:rPr>
        <w:t xml:space="preserve"> distribuição de MTI na RCA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5"/>
        <w:gridCol w:w="5845"/>
      </w:tblGrid>
      <w:tr w:rsidR="00F65DAF" w:rsidRPr="00FB5C3E" w14:paraId="692313F6" w14:textId="77777777" w:rsidTr="005E34A9">
        <w:tc>
          <w:tcPr>
            <w:tcW w:w="2785" w:type="dxa"/>
          </w:tcPr>
          <w:p w14:paraId="1F2748C4" w14:textId="20EFD68C" w:rsidR="00F65DAF" w:rsidRPr="005E34A9" w:rsidRDefault="00F65DAF" w:rsidP="008E2CF5">
            <w:pPr>
              <w:widowControl w:val="0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Parceiro</w:t>
            </w:r>
          </w:p>
        </w:tc>
        <w:tc>
          <w:tcPr>
            <w:tcW w:w="5845" w:type="dxa"/>
          </w:tcPr>
          <w:p w14:paraId="411F4EE9" w14:textId="07DD6DEE" w:rsidR="00F65DAF" w:rsidRPr="005E34A9" w:rsidRDefault="00382E4D" w:rsidP="008E2CF5">
            <w:pPr>
              <w:widowControl w:val="0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Distribuição do MTI </w:t>
            </w:r>
          </w:p>
        </w:tc>
      </w:tr>
      <w:tr w:rsidR="00F65DAF" w:rsidRPr="00FB5C3E" w14:paraId="55D25E62" w14:textId="77777777" w:rsidTr="005E34A9">
        <w:tc>
          <w:tcPr>
            <w:tcW w:w="2785" w:type="dxa"/>
          </w:tcPr>
          <w:p w14:paraId="01C1C3F9" w14:textId="1333238F" w:rsidR="00F65DAF" w:rsidRPr="00FB5C3E" w:rsidRDefault="00F65DAF" w:rsidP="008E2CF5">
            <w:pPr>
              <w:widowControl w:val="0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Cruz Vermelha da África Central</w:t>
            </w:r>
          </w:p>
        </w:tc>
        <w:tc>
          <w:tcPr>
            <w:tcW w:w="5845" w:type="dxa"/>
          </w:tcPr>
          <w:p w14:paraId="0187E7C0" w14:textId="7990E175" w:rsidR="00F65DAF" w:rsidRPr="00FB5C3E" w:rsidRDefault="00F65DAF" w:rsidP="008E2CF5">
            <w:pPr>
              <w:widowControl w:val="0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Nas regiões de saúde 1, 2 e 3</w:t>
            </w:r>
          </w:p>
        </w:tc>
      </w:tr>
      <w:tr w:rsidR="00F65DAF" w:rsidRPr="00FB5C3E" w14:paraId="69F8508B" w14:textId="77777777" w:rsidTr="005E34A9">
        <w:tc>
          <w:tcPr>
            <w:tcW w:w="2785" w:type="dxa"/>
          </w:tcPr>
          <w:p w14:paraId="027BB7D5" w14:textId="1C2ECFD9" w:rsidR="00F65DAF" w:rsidRPr="00FB5C3E" w:rsidRDefault="00F65DAF" w:rsidP="008E2CF5">
            <w:pPr>
              <w:widowControl w:val="0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 xml:space="preserve">Conselhos de Refugiados Dinamarquês e Norueguês </w:t>
            </w:r>
          </w:p>
        </w:tc>
        <w:tc>
          <w:tcPr>
            <w:tcW w:w="5845" w:type="dxa"/>
          </w:tcPr>
          <w:p w14:paraId="5F480BC4" w14:textId="2F8F4966" w:rsidR="00F65DAF" w:rsidRPr="00FB5C3E" w:rsidRDefault="00F65DAF" w:rsidP="008E2CF5">
            <w:pPr>
              <w:widowControl w:val="0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Para pessoas deslocadas</w:t>
            </w:r>
          </w:p>
        </w:tc>
      </w:tr>
      <w:tr w:rsidR="00F65DAF" w:rsidRPr="00FB5C3E" w14:paraId="7DCB5AA0" w14:textId="77777777" w:rsidTr="005E34A9">
        <w:tc>
          <w:tcPr>
            <w:tcW w:w="2785" w:type="dxa"/>
          </w:tcPr>
          <w:p w14:paraId="7636DC61" w14:textId="06C0B49D" w:rsidR="00F65DAF" w:rsidRPr="00FB5C3E" w:rsidRDefault="00382E4D" w:rsidP="008E2CF5">
            <w:pPr>
              <w:widowControl w:val="0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Organização Internacional para as Migrações</w:t>
            </w:r>
          </w:p>
        </w:tc>
        <w:tc>
          <w:tcPr>
            <w:tcW w:w="5845" w:type="dxa"/>
          </w:tcPr>
          <w:p w14:paraId="31B1670E" w14:textId="040D7094" w:rsidR="00F65DAF" w:rsidRPr="00FB5C3E" w:rsidRDefault="00382E4D" w:rsidP="008E2CF5">
            <w:pPr>
              <w:widowControl w:val="0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Na subprefeitura de Kabo</w:t>
            </w:r>
          </w:p>
        </w:tc>
      </w:tr>
      <w:tr w:rsidR="00F65DAF" w:rsidRPr="00FB5C3E" w14:paraId="21C63020" w14:textId="77777777" w:rsidTr="005E34A9">
        <w:tc>
          <w:tcPr>
            <w:tcW w:w="2785" w:type="dxa"/>
          </w:tcPr>
          <w:p w14:paraId="7D60A475" w14:textId="17D4A66C" w:rsidR="00F65DAF" w:rsidRPr="00FB5C3E" w:rsidRDefault="00382E4D" w:rsidP="008E2CF5">
            <w:pPr>
              <w:widowControl w:val="0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 xml:space="preserve">The Mentor Initiative </w:t>
            </w:r>
          </w:p>
        </w:tc>
        <w:tc>
          <w:tcPr>
            <w:tcW w:w="5845" w:type="dxa"/>
          </w:tcPr>
          <w:p w14:paraId="7F9211EA" w14:textId="4580C02C" w:rsidR="00F65DAF" w:rsidRPr="005E34A9" w:rsidRDefault="00382E4D" w:rsidP="008E2CF5">
            <w:pPr>
              <w:widowControl w:val="0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 xml:space="preserve">Na região de saúde 3 </w:t>
            </w:r>
          </w:p>
        </w:tc>
      </w:tr>
      <w:tr w:rsidR="00F65DAF" w:rsidRPr="00FB5C3E" w14:paraId="3064266D" w14:textId="77777777" w:rsidTr="005E34A9">
        <w:tc>
          <w:tcPr>
            <w:tcW w:w="2785" w:type="dxa"/>
          </w:tcPr>
          <w:p w14:paraId="4B3107AD" w14:textId="6369EF95" w:rsidR="00F65DAF" w:rsidRPr="00FB5C3E" w:rsidRDefault="00382E4D" w:rsidP="008E2CF5">
            <w:pPr>
              <w:widowControl w:val="0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 xml:space="preserve">Ministério dos Assuntos Sociais </w:t>
            </w:r>
          </w:p>
        </w:tc>
        <w:tc>
          <w:tcPr>
            <w:tcW w:w="5845" w:type="dxa"/>
          </w:tcPr>
          <w:p w14:paraId="33005FB3" w14:textId="1A705B44" w:rsidR="00F65DAF" w:rsidRPr="00FB5C3E" w:rsidRDefault="00382E4D" w:rsidP="008E2CF5">
            <w:pPr>
              <w:widowControl w:val="0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Na subprefeitura de Yaloké</w:t>
            </w:r>
          </w:p>
        </w:tc>
      </w:tr>
      <w:tr w:rsidR="00F65DAF" w:rsidRPr="00FB5C3E" w14:paraId="49F22163" w14:textId="77777777" w:rsidTr="005E34A9">
        <w:tc>
          <w:tcPr>
            <w:tcW w:w="2785" w:type="dxa"/>
          </w:tcPr>
          <w:p w14:paraId="0D22F99E" w14:textId="6720280E" w:rsidR="00F65DAF" w:rsidRPr="00FB5C3E" w:rsidRDefault="00382E4D" w:rsidP="00382E4D">
            <w:pPr>
              <w:widowControl w:val="0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Médicos Sem Fronteiras</w:t>
            </w:r>
          </w:p>
        </w:tc>
        <w:tc>
          <w:tcPr>
            <w:tcW w:w="5845" w:type="dxa"/>
          </w:tcPr>
          <w:p w14:paraId="11CEE9F5" w14:textId="60E1F27C" w:rsidR="00F65DAF" w:rsidRPr="00FB5C3E" w:rsidRDefault="00382E4D" w:rsidP="008E2CF5">
            <w:pPr>
              <w:widowControl w:val="0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Nas subprefeituras de Bakassa, Bakouma, Batangafo, Bocaranga, Bossangoa, Bria, Carnot, Dekoa, Kabo, Markounda, Nana Boguila e Ndélé</w:t>
            </w:r>
          </w:p>
        </w:tc>
      </w:tr>
      <w:tr w:rsidR="00382E4D" w:rsidRPr="00FB5C3E" w14:paraId="6C64077C" w14:textId="77777777" w:rsidTr="00F65DAF">
        <w:tc>
          <w:tcPr>
            <w:tcW w:w="2785" w:type="dxa"/>
          </w:tcPr>
          <w:p w14:paraId="5ACBF4A3" w14:textId="150D1A4D" w:rsidR="00382E4D" w:rsidRPr="00FB5C3E" w:rsidRDefault="00382E4D" w:rsidP="00382E4D">
            <w:pPr>
              <w:widowControl w:val="0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Plano Internacional</w:t>
            </w:r>
          </w:p>
        </w:tc>
        <w:tc>
          <w:tcPr>
            <w:tcW w:w="5845" w:type="dxa"/>
          </w:tcPr>
          <w:p w14:paraId="5D74FEE9" w14:textId="35350DAD" w:rsidR="00382E4D" w:rsidRPr="00FB5C3E" w:rsidRDefault="00382E4D" w:rsidP="008E2CF5">
            <w:pPr>
              <w:widowControl w:val="0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Na região de saúde 2</w:t>
            </w:r>
          </w:p>
        </w:tc>
      </w:tr>
      <w:tr w:rsidR="00382E4D" w:rsidRPr="00FB5C3E" w14:paraId="7EF0DEBA" w14:textId="77777777" w:rsidTr="00FE4D59">
        <w:trPr>
          <w:trHeight w:val="152"/>
        </w:trPr>
        <w:tc>
          <w:tcPr>
            <w:tcW w:w="2785" w:type="dxa"/>
          </w:tcPr>
          <w:p w14:paraId="736B9329" w14:textId="7AD2ED72" w:rsidR="00382E4D" w:rsidRPr="00FB5C3E" w:rsidRDefault="00FE4D59" w:rsidP="008E2CF5">
            <w:pPr>
              <w:widowControl w:val="0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Mecanismo de Resposta Rápida</w:t>
            </w:r>
          </w:p>
        </w:tc>
        <w:tc>
          <w:tcPr>
            <w:tcW w:w="5845" w:type="dxa"/>
          </w:tcPr>
          <w:p w14:paraId="00F981B0" w14:textId="0F0359B5" w:rsidR="00382E4D" w:rsidRPr="00FB5C3E" w:rsidRDefault="00FE4D59" w:rsidP="008E2CF5">
            <w:pPr>
              <w:widowControl w:val="0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 xml:space="preserve">Para as zonas de emergência </w:t>
            </w:r>
            <w:r w:rsidR="00803071">
              <w:rPr>
                <w:rFonts w:ascii="Calibri" w:hAnsi="Calibri"/>
                <w:sz w:val="20"/>
              </w:rPr>
              <w:t>n</w:t>
            </w:r>
            <w:r>
              <w:rPr>
                <w:rFonts w:ascii="Calibri" w:hAnsi="Calibri"/>
                <w:sz w:val="20"/>
              </w:rPr>
              <w:t>as regiões de saúde 4, 5 e 6</w:t>
            </w:r>
          </w:p>
        </w:tc>
      </w:tr>
      <w:tr w:rsidR="00382E4D" w:rsidRPr="00FB5C3E" w14:paraId="4440AC86" w14:textId="77777777" w:rsidTr="00F65DAF">
        <w:tc>
          <w:tcPr>
            <w:tcW w:w="2785" w:type="dxa"/>
          </w:tcPr>
          <w:p w14:paraId="27B14AA4" w14:textId="3F9FBA7C" w:rsidR="00382E4D" w:rsidRPr="00FB5C3E" w:rsidRDefault="00FE4D59" w:rsidP="008E2CF5">
            <w:pPr>
              <w:widowControl w:val="0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World Vision International</w:t>
            </w:r>
          </w:p>
        </w:tc>
        <w:tc>
          <w:tcPr>
            <w:tcW w:w="5845" w:type="dxa"/>
          </w:tcPr>
          <w:p w14:paraId="57892AED" w14:textId="0EA982D7" w:rsidR="00382E4D" w:rsidRPr="00FB5C3E" w:rsidRDefault="00FE4D59" w:rsidP="008E2CF5">
            <w:pPr>
              <w:widowControl w:val="0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Como Principal Beneficiário do Fundo Global</w:t>
            </w:r>
          </w:p>
        </w:tc>
      </w:tr>
    </w:tbl>
    <w:p w14:paraId="191655B7" w14:textId="77777777" w:rsidR="00FE4D59" w:rsidRPr="00AD25AE" w:rsidRDefault="00FE4D59" w:rsidP="008E2CF5">
      <w:pPr>
        <w:widowControl w:val="0"/>
        <w:rPr>
          <w:rFonts w:ascii="Calibri" w:eastAsia="Times New Roman" w:hAnsi="Calibri" w:cs="Calibri"/>
          <w:sz w:val="22"/>
          <w:szCs w:val="22"/>
        </w:rPr>
      </w:pPr>
    </w:p>
    <w:p w14:paraId="306B8544" w14:textId="6B920262" w:rsidR="007D3825" w:rsidRDefault="008E2CF5" w:rsidP="008E2CF5">
      <w:pPr>
        <w:widowControl w:val="0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hAnsi="Calibri"/>
          <w:sz w:val="22"/>
        </w:rPr>
        <w:t xml:space="preserve">O PNCM também coordenou com o Ministério da Saúde e da População o envio de MTI por equipas de saúde regionais e distritais em veículos destinados a visitas de supervisão ou outras missões de trabalho em centros de saúde. Este sistema é mais sólido nos centros de saúde situados em ou perto de Bangui e mais problemático em zonas mais afastadas da capital, onde se verifica uma maior incidência de malária e um acesso mais limitado aos centros de saúde. </w:t>
      </w:r>
    </w:p>
    <w:p w14:paraId="5B726169" w14:textId="4E0FE411" w:rsidR="00B07588" w:rsidRPr="00AD25AE" w:rsidRDefault="00B07588" w:rsidP="008E2CF5">
      <w:pPr>
        <w:widowControl w:val="0"/>
        <w:rPr>
          <w:rFonts w:ascii="Calibri" w:eastAsia="Times New Roman" w:hAnsi="Calibri" w:cs="Calibri"/>
          <w:sz w:val="22"/>
          <w:szCs w:val="22"/>
        </w:rPr>
      </w:pPr>
    </w:p>
    <w:p w14:paraId="52AD41BB" w14:textId="5AEED4D2" w:rsidR="00B07588" w:rsidRPr="008E2CF5" w:rsidRDefault="00B07588" w:rsidP="008E2CF5">
      <w:pPr>
        <w:widowControl w:val="0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hAnsi="Calibri"/>
          <w:sz w:val="22"/>
        </w:rPr>
        <w:t xml:space="preserve">Embora o PNCM tenha conseguido manter uma distribuição contínua em 2020, a melhoria da </w:t>
      </w:r>
      <w:r>
        <w:rPr>
          <w:rFonts w:ascii="Calibri" w:hAnsi="Calibri"/>
          <w:sz w:val="22"/>
        </w:rPr>
        <w:lastRenderedPageBreak/>
        <w:t>eficiência, fiabilidade e eficácia do sistema será uma prioridade no âmbito da nova subvenção do Fundo Global</w:t>
      </w:r>
      <w:r w:rsidR="00EE5213">
        <w:rPr>
          <w:rFonts w:ascii="Calibri" w:hAnsi="Calibri"/>
          <w:sz w:val="22"/>
        </w:rPr>
        <w:t>,</w:t>
      </w:r>
      <w:r>
        <w:rPr>
          <w:rFonts w:ascii="Calibri" w:hAnsi="Calibri"/>
          <w:sz w:val="22"/>
        </w:rPr>
        <w:t xml:space="preserve"> que terá início em 2021. </w:t>
      </w:r>
    </w:p>
    <w:p w14:paraId="69230110" w14:textId="77777777" w:rsidR="00940BF6" w:rsidRPr="002D0D6F" w:rsidRDefault="00940BF6" w:rsidP="007D3825">
      <w:pPr>
        <w:widowControl w:val="0"/>
        <w:rPr>
          <w:rFonts w:asciiTheme="majorHAnsi" w:eastAsia="Times New Roman" w:hAnsiTheme="majorHAnsi" w:cstheme="majorHAnsi"/>
          <w:sz w:val="22"/>
          <w:szCs w:val="22"/>
        </w:rPr>
      </w:pPr>
    </w:p>
    <w:sectPr w:rsidR="00940BF6" w:rsidRPr="002D0D6F" w:rsidSect="00911A8F"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386BD8" w14:textId="77777777" w:rsidR="003A28D2" w:rsidRDefault="003A28D2" w:rsidP="0074701A">
      <w:r>
        <w:separator/>
      </w:r>
    </w:p>
  </w:endnote>
  <w:endnote w:type="continuationSeparator" w:id="0">
    <w:p w14:paraId="60D086FE" w14:textId="77777777" w:rsidR="003A28D2" w:rsidRDefault="003A28D2" w:rsidP="00747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`∆G»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DF2F6" w14:textId="2264B661" w:rsidR="00EA62B5" w:rsidRDefault="00685D72" w:rsidP="00F75F58">
    <w:pPr>
      <w:pStyle w:val="Footer"/>
      <w:framePr w:wrap="none" w:vAnchor="text" w:hAnchor="margin" w:xAlign="right" w:y="1"/>
      <w:rPr>
        <w:rStyle w:val="PageNumber"/>
      </w:rPr>
    </w:pPr>
    <w:r>
      <w:rPr>
        <w:noProof/>
        <w:lang w:val="de-CH" w:eastAsia="de-CH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CB5625C" wp14:editId="5345C5CC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6985" b="16510"/>
              <wp:wrapSquare wrapText="bothSides"/>
              <wp:docPr id="9" name="Text Box 9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D3EDDB" w14:textId="7658CEBC" w:rsidR="00685D72" w:rsidRPr="00685D72" w:rsidRDefault="00685D72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20"/>
                            </w:rPr>
                            <w:t>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B5625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0" type="#_x0000_t202" alt="Internal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" filled="f" stroked="f">
              <v:textbox style="mso-fit-shape-to-text:t" inset="5pt,0,0,0">
                <w:txbxContent>
                  <w:p w14:paraId="6DD3EDDB" w14:textId="7658CEBC" w:rsidR="00685D72" w:rsidRPr="00685D72" w:rsidRDefault="00685D72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Calibri" w:hAnsi="Calibri"/>
                        <w:color w:val="000000"/>
                        <w:sz w:val="20"/>
                      </w:rPr>
                      <w:t>Interno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sdt>
    <w:sdtPr>
      <w:rPr>
        <w:rStyle w:val="PageNumber"/>
      </w:rPr>
      <w:id w:val="-188809165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17CC0F3" w14:textId="77777777" w:rsidR="00EA62B5" w:rsidRDefault="00EA62B5" w:rsidP="00F75F5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CF1B15D" w14:textId="77777777" w:rsidR="00EA62B5" w:rsidRDefault="00EA62B5" w:rsidP="009216E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1E409" w14:textId="24895FB5" w:rsidR="00EA62B5" w:rsidRDefault="006C512C">
    <w:pPr>
      <w:pStyle w:val="Footer"/>
      <w:jc w:val="center"/>
    </w:pPr>
    <w:r>
      <w:rPr>
        <w:noProof/>
        <w:lang w:val="de-CH" w:eastAsia="de-CH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45296D02" wp14:editId="560436B6">
              <wp:simplePos x="0" y="0"/>
              <wp:positionH relativeFrom="page">
                <wp:posOffset>0</wp:posOffset>
              </wp:positionH>
              <wp:positionV relativeFrom="page">
                <wp:posOffset>9594215</wp:posOffset>
              </wp:positionV>
              <wp:extent cx="7772400" cy="273050"/>
              <wp:effectExtent l="0" t="0" r="0" b="12700"/>
              <wp:wrapNone/>
              <wp:docPr id="12" name="MSIPCM8a784104adb0e0cc940a1319" descr="{&quot;HashCode&quot;:439207315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C9A4065" w14:textId="26DFF538" w:rsidR="006C512C" w:rsidRPr="006C512C" w:rsidRDefault="006C512C" w:rsidP="006C512C">
                          <w:pPr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6C512C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296D02" id="_x0000_t202" coordsize="21600,21600" o:spt="202" path="m,l,21600r21600,l21600,xe">
              <v:stroke joinstyle="miter"/>
              <v:path gradientshapeok="t" o:connecttype="rect"/>
            </v:shapetype>
            <v:shape id="MSIPCM8a784104adb0e0cc940a1319" o:spid="_x0000_s1031" type="#_x0000_t202" alt="{&quot;HashCode&quot;:439207315,&quot;Height&quot;:792.0,&quot;Width&quot;:612.0,&quot;Placement&quot;:&quot;Footer&quot;,&quot;Index&quot;:&quot;Primary&quot;,&quot;Section&quot;:1,&quot;Top&quot;:0.0,&quot;Left&quot;:0.0}" style="position:absolute;left:0;text-align:left;margin-left:0;margin-top:755.45pt;width:612pt;height:21.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" o:allowincell="f" filled="f" stroked="f" strokeweight=".5pt">
              <v:fill o:detectmouseclick="t"/>
              <v:textbox inset="20pt,0,,0">
                <w:txbxContent>
                  <w:p w14:paraId="3C9A4065" w14:textId="26DFF538" w:rsidR="006C512C" w:rsidRPr="006C512C" w:rsidRDefault="006C512C" w:rsidP="006C512C">
                    <w:pPr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6C512C">
                      <w:rPr>
                        <w:rFonts w:ascii="Calibri" w:hAnsi="Calibri" w:cs="Calibri"/>
                        <w:color w:val="000000"/>
                        <w:sz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85D72">
      <w:rPr>
        <w:noProof/>
        <w:lang w:val="de-CH" w:eastAsia="de-CH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6DD96CF" wp14:editId="5EDD4F2B">
              <wp:simplePos x="1143635" y="925258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6985" b="16510"/>
              <wp:wrapSquare wrapText="bothSides"/>
              <wp:docPr id="11" name="Text Box 11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AA0760" w14:textId="5CE9EE9A" w:rsidR="00685D72" w:rsidRPr="00685D72" w:rsidRDefault="00685D72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20"/>
                            </w:rPr>
                            <w:t>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6DD96CF" id="Text Box 11" o:spid="_x0000_s1032" type="#_x0000_t202" alt="Internal" style="position:absolute;left:0;text-align:left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" filled="f" stroked="f">
              <v:textbox style="mso-fit-shape-to-text:t" inset="5pt,0,0,0">
                <w:txbxContent>
                  <w:p w14:paraId="73AA0760" w14:textId="5CE9EE9A" w:rsidR="00685D72" w:rsidRPr="00685D72" w:rsidRDefault="00685D72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Calibri" w:hAnsi="Calibri"/>
                        <w:color w:val="000000"/>
                        <w:sz w:val="20"/>
                      </w:rPr>
                      <w:t>Interno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sdt>
      <w:sdtPr>
        <w:id w:val="-68766706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EA62B5">
          <w:fldChar w:fldCharType="begin"/>
        </w:r>
        <w:r w:rsidR="00EA62B5">
          <w:instrText xml:space="preserve"> PAGE   \* MERGEFORMAT </w:instrText>
        </w:r>
        <w:r w:rsidR="00EA62B5">
          <w:fldChar w:fldCharType="separate"/>
        </w:r>
        <w:r w:rsidR="007836B2">
          <w:rPr>
            <w:noProof/>
          </w:rPr>
          <w:t>9</w:t>
        </w:r>
        <w:r w:rsidR="00EA62B5">
          <w:fldChar w:fldCharType="end"/>
        </w:r>
      </w:sdtContent>
    </w:sdt>
  </w:p>
  <w:p w14:paraId="203FF45A" w14:textId="77777777" w:rsidR="00EA62B5" w:rsidRPr="009216E9" w:rsidRDefault="00EA62B5" w:rsidP="009216E9">
    <w:pPr>
      <w:pStyle w:val="Footer"/>
      <w:ind w:right="360"/>
      <w:rPr>
        <w:rFonts w:asciiTheme="majorHAnsi" w:hAnsiTheme="majorHAnsi" w:cstheme="majorHAnsi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1DDF7" w14:textId="5F56F179" w:rsidR="00685D72" w:rsidRDefault="006C512C">
    <w:pPr>
      <w:pStyle w:val="Footer"/>
    </w:pPr>
    <w:r>
      <w:rPr>
        <w:noProof/>
        <w:lang w:val="de-CH" w:eastAsia="de-CH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257A9217" wp14:editId="2A35D64E">
              <wp:simplePos x="0" y="0"/>
              <wp:positionH relativeFrom="page">
                <wp:posOffset>0</wp:posOffset>
              </wp:positionH>
              <wp:positionV relativeFrom="page">
                <wp:posOffset>9594215</wp:posOffset>
              </wp:positionV>
              <wp:extent cx="7772400" cy="273050"/>
              <wp:effectExtent l="0" t="0" r="0" b="12700"/>
              <wp:wrapNone/>
              <wp:docPr id="13" name="MSIPCM6af241c39e81bac52b8710b1" descr="{&quot;HashCode&quot;:439207315,&quot;Height&quot;:792.0,&quot;Width&quot;:612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58C20BA" w14:textId="15BE276C" w:rsidR="006C512C" w:rsidRPr="006C512C" w:rsidRDefault="006C512C" w:rsidP="006C512C">
                          <w:pPr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6C512C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7A9217" id="_x0000_t202" coordsize="21600,21600" o:spt="202" path="m,l,21600r21600,l21600,xe">
              <v:stroke joinstyle="miter"/>
              <v:path gradientshapeok="t" o:connecttype="rect"/>
            </v:shapetype>
            <v:shape id="MSIPCM6af241c39e81bac52b8710b1" o:spid="_x0000_s1033" type="#_x0000_t202" alt="{&quot;HashCode&quot;:439207315,&quot;Height&quot;:792.0,&quot;Width&quot;:612.0,&quot;Placement&quot;:&quot;Footer&quot;,&quot;Index&quot;:&quot;FirstPage&quot;,&quot;Section&quot;:1,&quot;Top&quot;:0.0,&quot;Left&quot;:0.0}" style="position:absolute;margin-left:0;margin-top:755.45pt;width:612pt;height:21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" o:allowincell="f" filled="f" stroked="f" strokeweight=".5pt">
              <v:fill o:detectmouseclick="t"/>
              <v:textbox inset="20pt,0,,0">
                <w:txbxContent>
                  <w:p w14:paraId="358C20BA" w14:textId="15BE276C" w:rsidR="006C512C" w:rsidRPr="006C512C" w:rsidRDefault="006C512C" w:rsidP="006C512C">
                    <w:pPr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6C512C">
                      <w:rPr>
                        <w:rFonts w:ascii="Calibri" w:hAnsi="Calibri" w:cs="Calibri"/>
                        <w:color w:val="000000"/>
                        <w:sz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85D72">
      <w:rPr>
        <w:noProof/>
        <w:lang w:val="de-CH" w:eastAsia="de-CH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3619565" wp14:editId="4956A132">
              <wp:simplePos x="1145894" y="9421792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6985" b="16510"/>
              <wp:wrapSquare wrapText="bothSides"/>
              <wp:docPr id="7" name="Text Box 7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54BF93" w14:textId="2D465ACC" w:rsidR="00685D72" w:rsidRPr="00685D72" w:rsidRDefault="00685D72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20"/>
                            </w:rPr>
                            <w:t>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23619565" id="Text Box 7" o:spid="_x0000_s1034" type="#_x0000_t202" alt="Internal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" filled="f" stroked="f">
              <v:textbox style="mso-fit-shape-to-text:t" inset="5pt,0,0,0">
                <w:txbxContent>
                  <w:p w14:paraId="6B54BF93" w14:textId="2D465ACC" w:rsidR="00685D72" w:rsidRPr="00685D72" w:rsidRDefault="00685D72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Calibri" w:hAnsi="Calibri"/>
                        <w:color w:val="000000"/>
                        <w:sz w:val="20"/>
                      </w:rPr>
                      <w:t>Interno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D4004" w14:textId="77777777" w:rsidR="003A28D2" w:rsidRDefault="003A28D2" w:rsidP="0074701A">
      <w:r>
        <w:separator/>
      </w:r>
    </w:p>
  </w:footnote>
  <w:footnote w:type="continuationSeparator" w:id="0">
    <w:p w14:paraId="295430E0" w14:textId="77777777" w:rsidR="003A28D2" w:rsidRDefault="003A28D2" w:rsidP="0074701A">
      <w:r>
        <w:continuationSeparator/>
      </w:r>
    </w:p>
  </w:footnote>
  <w:footnote w:id="1">
    <w:p w14:paraId="36604DF8" w14:textId="2D946672" w:rsidR="00EA62B5" w:rsidRPr="008B78DB" w:rsidRDefault="00EA62B5">
      <w:pPr>
        <w:pStyle w:val="FootnoteText"/>
        <w:rPr>
          <w:rFonts w:ascii="Calibri" w:hAnsi="Calibri" w:cs="Calibri"/>
          <w:sz w:val="18"/>
          <w:szCs w:val="18"/>
        </w:rPr>
      </w:pPr>
      <w:r>
        <w:rPr>
          <w:rStyle w:val="FootnoteReference"/>
          <w:rFonts w:ascii="Calibri" w:hAnsi="Calibri" w:cs="Calibri"/>
          <w:sz w:val="18"/>
          <w:szCs w:val="18"/>
        </w:rPr>
        <w:footnoteRef/>
      </w:r>
      <w:r>
        <w:rPr>
          <w:rFonts w:ascii="Calibri" w:hAnsi="Calibri"/>
          <w:sz w:val="18"/>
        </w:rPr>
        <w:t xml:space="preserve"> World Vision International (WVI), E-mail de Byicaza, O., 2 de dezembro de 2020.</w:t>
      </w:r>
    </w:p>
  </w:footnote>
  <w:footnote w:id="2">
    <w:p w14:paraId="701F9C2E" w14:textId="4DBDBEE8" w:rsidR="00EA62B5" w:rsidRPr="008B78DB" w:rsidRDefault="00EA62B5">
      <w:pPr>
        <w:pStyle w:val="FootnoteText"/>
        <w:rPr>
          <w:rFonts w:ascii="Calibri" w:hAnsi="Calibri" w:cs="Calibri"/>
          <w:sz w:val="18"/>
          <w:szCs w:val="18"/>
        </w:rPr>
      </w:pPr>
      <w:r>
        <w:rPr>
          <w:rStyle w:val="FootnoteReference"/>
          <w:rFonts w:ascii="Calibri" w:hAnsi="Calibri" w:cs="Calibri"/>
          <w:sz w:val="18"/>
          <w:szCs w:val="18"/>
        </w:rPr>
        <w:footnoteRef/>
      </w:r>
      <w:r w:rsidRPr="00AD25AE">
        <w:rPr>
          <w:rFonts w:ascii="Calibri" w:hAnsi="Calibri"/>
          <w:sz w:val="18"/>
          <w:lang w:val="fr-FR"/>
        </w:rPr>
        <w:t xml:space="preserve"> République Centrafricaine Ministère de la Santé et de la Population (2017). </w:t>
      </w:r>
      <w:r>
        <w:rPr>
          <w:rFonts w:ascii="Calibri" w:hAnsi="Calibri"/>
          <w:sz w:val="18"/>
        </w:rPr>
        <w:t>Enquête nationale sur les Indicateurs du Paludisme — Mai 2016 [República Centro-Africana: Ministério da Saúde e da População (2017). Inquérito Nacional sobre Indicadores de Malária — maio de 2016].</w:t>
      </w:r>
    </w:p>
  </w:footnote>
  <w:footnote w:id="3">
    <w:p w14:paraId="21FCB510" w14:textId="77777777" w:rsidR="00EA62B5" w:rsidRPr="006B36CD" w:rsidRDefault="00EA62B5" w:rsidP="00A179E9">
      <w:pPr>
        <w:pStyle w:val="FootnoteText"/>
        <w:rPr>
          <w:rFonts w:ascii="Calibri" w:hAnsi="Calibri" w:cs="Calibri"/>
          <w:sz w:val="18"/>
          <w:szCs w:val="18"/>
        </w:rPr>
      </w:pPr>
      <w:r>
        <w:rPr>
          <w:rStyle w:val="FootnoteReference"/>
          <w:rFonts w:ascii="Calibri" w:hAnsi="Calibri" w:cs="Calibri"/>
          <w:sz w:val="18"/>
          <w:szCs w:val="18"/>
        </w:rPr>
        <w:footnoteRef/>
      </w:r>
      <w:r>
        <w:rPr>
          <w:rFonts w:ascii="Calibri" w:hAnsi="Calibri"/>
          <w:sz w:val="18"/>
        </w:rPr>
        <w:t xml:space="preserve"> OCHA-ONU (2020). República Centro-Africana. Retirado em 1 de dezembro de 2020 de </w:t>
      </w:r>
      <w:hyperlink r:id="rId1" w:history="1">
        <w:r>
          <w:rPr>
            <w:rStyle w:val="Hyperlink"/>
            <w:rFonts w:ascii="Calibri" w:hAnsi="Calibri"/>
            <w:sz w:val="18"/>
          </w:rPr>
          <w:t>https://www.unocha.org/RCA</w:t>
        </w:r>
      </w:hyperlink>
      <w:r>
        <w:rPr>
          <w:rFonts w:ascii="Calibri" w:hAnsi="Calibri"/>
          <w:sz w:val="18"/>
        </w:rPr>
        <w:t xml:space="preserve"> </w:t>
      </w:r>
    </w:p>
  </w:footnote>
  <w:footnote w:id="4">
    <w:p w14:paraId="76BAECF1" w14:textId="77777777" w:rsidR="00EA62B5" w:rsidRPr="006B36CD" w:rsidRDefault="00EA62B5" w:rsidP="00A179E9">
      <w:pPr>
        <w:pStyle w:val="FootnoteText"/>
        <w:rPr>
          <w:rFonts w:ascii="Calibri" w:hAnsi="Calibri" w:cs="Calibri"/>
          <w:sz w:val="18"/>
          <w:szCs w:val="18"/>
        </w:rPr>
      </w:pPr>
      <w:r>
        <w:rPr>
          <w:rStyle w:val="FootnoteReference"/>
          <w:rFonts w:ascii="Calibri" w:hAnsi="Calibri" w:cs="Calibri"/>
          <w:sz w:val="18"/>
          <w:szCs w:val="18"/>
        </w:rPr>
        <w:footnoteRef/>
      </w:r>
      <w:r>
        <w:rPr>
          <w:rFonts w:ascii="Calibri" w:hAnsi="Calibri"/>
          <w:sz w:val="18"/>
        </w:rPr>
        <w:t xml:space="preserve"> </w:t>
      </w:r>
      <w:hyperlink r:id="rId2" w:history="1">
        <w:r>
          <w:rPr>
            <w:rStyle w:val="Hyperlink"/>
            <w:rFonts w:ascii="Calibri" w:hAnsi="Calibri"/>
            <w:sz w:val="18"/>
          </w:rPr>
          <w:t>http://hdr.undp.org/en/content/2019-human-development-index-ranking</w:t>
        </w:r>
      </w:hyperlink>
      <w:r>
        <w:rPr>
          <w:rFonts w:ascii="Calibri" w:hAnsi="Calibri"/>
          <w:sz w:val="18"/>
        </w:rPr>
        <w:t xml:space="preserve"> </w:t>
      </w:r>
    </w:p>
  </w:footnote>
  <w:footnote w:id="5">
    <w:p w14:paraId="7C20DA59" w14:textId="77777777" w:rsidR="00EA62B5" w:rsidRPr="00B53AB2" w:rsidRDefault="00EA62B5" w:rsidP="00A179E9">
      <w:pPr>
        <w:pStyle w:val="FootnoteText"/>
        <w:rPr>
          <w:rFonts w:ascii="Calibri" w:hAnsi="Calibri" w:cs="Calibri"/>
          <w:color w:val="000000" w:themeColor="text1"/>
          <w:sz w:val="18"/>
          <w:szCs w:val="18"/>
        </w:rPr>
      </w:pPr>
      <w:r>
        <w:rPr>
          <w:rStyle w:val="FootnoteReference"/>
          <w:rFonts w:ascii="Calibri" w:hAnsi="Calibri" w:cs="Calibri"/>
          <w:sz w:val="18"/>
          <w:szCs w:val="18"/>
        </w:rPr>
        <w:footnoteRef/>
      </w:r>
      <w:r>
        <w:rPr>
          <w:rFonts w:ascii="Calibri" w:hAnsi="Calibri"/>
          <w:sz w:val="18"/>
        </w:rPr>
        <w:t xml:space="preserve"> </w:t>
      </w:r>
      <w:r>
        <w:rPr>
          <w:rFonts w:ascii="Calibri" w:hAnsi="Calibri"/>
          <w:color w:val="000000" w:themeColor="text1"/>
          <w:sz w:val="18"/>
        </w:rPr>
        <w:t xml:space="preserve">O Banco Mundial (2020). Panorama da República Centro-Africana. </w:t>
      </w:r>
      <w:r>
        <w:rPr>
          <w:rFonts w:ascii="Calibri" w:hAnsi="Calibri"/>
          <w:sz w:val="18"/>
        </w:rPr>
        <w:t>Retirado em 24 de novembro de 2020 de</w:t>
      </w:r>
      <w:r>
        <w:rPr>
          <w:rFonts w:ascii="Calibri" w:hAnsi="Calibri"/>
          <w:color w:val="000000" w:themeColor="text1"/>
          <w:sz w:val="18"/>
        </w:rPr>
        <w:t xml:space="preserve"> </w:t>
      </w:r>
      <w:hyperlink r:id="rId3" w:history="1">
        <w:r>
          <w:rPr>
            <w:rStyle w:val="Hyperlink"/>
            <w:rFonts w:ascii="Calibri" w:hAnsi="Calibri"/>
            <w:sz w:val="18"/>
          </w:rPr>
          <w:t>https://www.worldbank.org/en/country/centralafricanrepublic/overview</w:t>
        </w:r>
      </w:hyperlink>
      <w:r>
        <w:rPr>
          <w:rFonts w:ascii="Calibri" w:hAnsi="Calibri"/>
          <w:color w:val="000000" w:themeColor="text1"/>
          <w:sz w:val="18"/>
        </w:rPr>
        <w:t xml:space="preserve"> </w:t>
      </w:r>
    </w:p>
  </w:footnote>
  <w:footnote w:id="6">
    <w:p w14:paraId="136591D4" w14:textId="05C2768C" w:rsidR="00EA62B5" w:rsidRPr="006B36CD" w:rsidRDefault="00EA62B5" w:rsidP="00A179E9">
      <w:pPr>
        <w:pStyle w:val="FootnoteText"/>
        <w:rPr>
          <w:rFonts w:ascii="Calibri" w:hAnsi="Calibri" w:cs="Calibri"/>
          <w:color w:val="000000" w:themeColor="text1"/>
          <w:sz w:val="18"/>
          <w:szCs w:val="18"/>
        </w:rPr>
      </w:pPr>
      <w:r>
        <w:rPr>
          <w:rStyle w:val="FootnoteReference"/>
          <w:rFonts w:ascii="Calibri" w:hAnsi="Calibri" w:cs="Calibri"/>
          <w:color w:val="000000" w:themeColor="text1"/>
          <w:sz w:val="18"/>
          <w:szCs w:val="18"/>
        </w:rPr>
        <w:footnoteRef/>
      </w:r>
      <w:r w:rsidRPr="00AD25AE">
        <w:rPr>
          <w:rFonts w:ascii="Calibri" w:hAnsi="Calibri"/>
          <w:color w:val="000000" w:themeColor="text1"/>
          <w:sz w:val="18"/>
          <w:lang w:val="fr-FR"/>
        </w:rPr>
        <w:t xml:space="preserve"> République Centrafricaine Ministère de la Santé et de la Population (2017). </w:t>
      </w:r>
      <w:r>
        <w:rPr>
          <w:rFonts w:ascii="Calibri" w:hAnsi="Calibri"/>
          <w:color w:val="000000" w:themeColor="text1"/>
          <w:sz w:val="18"/>
        </w:rPr>
        <w:t>Plan Stratégique National du Lutte contre le Paludisme 2018-2022 étendu à 2023 [República Centro-Africana: Ministério da Saúde e da População (2017). Plano Estratégico Nacional da Luta contra a Malária 2018-2022, alargado até 2023].</w:t>
      </w:r>
    </w:p>
  </w:footnote>
  <w:footnote w:id="7">
    <w:p w14:paraId="7A85B118" w14:textId="5639BEA2" w:rsidR="00EA62B5" w:rsidRPr="00B53AB2" w:rsidRDefault="00EA62B5" w:rsidP="00A7374F">
      <w:pPr>
        <w:rPr>
          <w:rFonts w:ascii="Calibri" w:eastAsia="Times New Roman" w:hAnsi="Calibri" w:cs="Calibri"/>
          <w:sz w:val="18"/>
          <w:szCs w:val="18"/>
        </w:rPr>
      </w:pPr>
      <w:r>
        <w:rPr>
          <w:rStyle w:val="FootnoteReference"/>
          <w:rFonts w:ascii="Calibri" w:hAnsi="Calibri" w:cs="Calibri"/>
          <w:color w:val="000000" w:themeColor="text1"/>
          <w:sz w:val="18"/>
          <w:szCs w:val="18"/>
        </w:rPr>
        <w:footnoteRef/>
      </w:r>
      <w:r>
        <w:rPr>
          <w:rFonts w:ascii="Calibri" w:hAnsi="Calibri"/>
          <w:color w:val="000000" w:themeColor="text1"/>
          <w:sz w:val="18"/>
        </w:rPr>
        <w:t xml:space="preserve"> Organização Mundial de Saúde (OMS) (2018). </w:t>
      </w:r>
      <w:r w:rsidR="00DF6230" w:rsidRPr="00DF6230">
        <w:rPr>
          <w:rFonts w:ascii="Calibri" w:hAnsi="Calibri" w:cs="Calibri"/>
          <w:i/>
          <w:iCs/>
          <w:color w:val="000000" w:themeColor="text1"/>
          <w:sz w:val="18"/>
          <w:szCs w:val="18"/>
        </w:rPr>
        <w:t>The Central African Republic prepares for Ebola respons</w:t>
      </w:r>
      <w:r w:rsidR="00DF6230" w:rsidRPr="006B36CD">
        <w:rPr>
          <w:rFonts w:ascii="Calibri" w:hAnsi="Calibri" w:cs="Calibri"/>
          <w:color w:val="000000" w:themeColor="text1"/>
          <w:sz w:val="18"/>
          <w:szCs w:val="18"/>
        </w:rPr>
        <w:t>e</w:t>
      </w:r>
      <w:r w:rsidR="00DF6230">
        <w:rPr>
          <w:rFonts w:ascii="Calibri" w:hAnsi="Calibri"/>
          <w:color w:val="000000" w:themeColor="text1"/>
          <w:sz w:val="18"/>
        </w:rPr>
        <w:t xml:space="preserve"> [</w:t>
      </w:r>
      <w:r>
        <w:rPr>
          <w:rFonts w:ascii="Calibri" w:hAnsi="Calibri"/>
          <w:color w:val="000000" w:themeColor="text1"/>
          <w:sz w:val="18"/>
        </w:rPr>
        <w:t>A República Centro-Africana prepara-se para responder ao Ébola</w:t>
      </w:r>
      <w:r w:rsidR="00DF6230">
        <w:rPr>
          <w:rFonts w:ascii="Calibri" w:hAnsi="Calibri"/>
          <w:color w:val="000000" w:themeColor="text1"/>
          <w:sz w:val="18"/>
        </w:rPr>
        <w:t>]</w:t>
      </w:r>
      <w:r>
        <w:rPr>
          <w:rFonts w:ascii="Calibri" w:hAnsi="Calibri"/>
          <w:color w:val="000000" w:themeColor="text1"/>
          <w:sz w:val="18"/>
        </w:rPr>
        <w:t xml:space="preserve">. Comunicado de imprensa de 12 de </w:t>
      </w:r>
      <w:r w:rsidR="00DF6230">
        <w:rPr>
          <w:rFonts w:ascii="Calibri" w:hAnsi="Calibri"/>
          <w:color w:val="000000" w:themeColor="text1"/>
          <w:sz w:val="18"/>
        </w:rPr>
        <w:t>j</w:t>
      </w:r>
      <w:r>
        <w:rPr>
          <w:rFonts w:ascii="Calibri" w:hAnsi="Calibri"/>
          <w:color w:val="000000" w:themeColor="text1"/>
          <w:sz w:val="18"/>
        </w:rPr>
        <w:t xml:space="preserve">unho de 2018 para a visita do Dr. Tedros Adhanom Ghebreyesus, director-geral da OMS, à RCA. Retirado em 24 de novembro de 2020 de </w:t>
      </w:r>
      <w:hyperlink r:id="rId4" w:history="1">
        <w:r>
          <w:rPr>
            <w:rStyle w:val="Hyperlink"/>
            <w:rFonts w:ascii="Calibri" w:hAnsi="Calibri"/>
            <w:sz w:val="18"/>
          </w:rPr>
          <w:t>https://www.afro.who.int/news/central-african-republic-prepares-ebola-response?country=906&amp;name=Central%20African%20Republic</w:t>
        </w:r>
      </w:hyperlink>
      <w:r>
        <w:rPr>
          <w:rFonts w:ascii="Calibri" w:hAnsi="Calibri"/>
          <w:sz w:val="18"/>
        </w:rPr>
        <w:t xml:space="preserve"> </w:t>
      </w:r>
    </w:p>
  </w:footnote>
  <w:footnote w:id="8">
    <w:p w14:paraId="6229E773" w14:textId="08CB5DF2" w:rsidR="00EA62B5" w:rsidRPr="001C2CFF" w:rsidRDefault="00EA62B5" w:rsidP="004428B1">
      <w:pPr>
        <w:pStyle w:val="FootnoteText"/>
        <w:rPr>
          <w:rFonts w:ascii="Calibri" w:hAnsi="Calibri" w:cs="Calibri"/>
          <w:sz w:val="18"/>
          <w:szCs w:val="18"/>
        </w:rPr>
      </w:pPr>
      <w:r>
        <w:rPr>
          <w:rStyle w:val="FootnoteReference"/>
          <w:rFonts w:ascii="Calibri" w:hAnsi="Calibri" w:cs="Calibri"/>
          <w:sz w:val="18"/>
          <w:szCs w:val="18"/>
        </w:rPr>
        <w:footnoteRef/>
      </w:r>
      <w:r w:rsidRPr="00AD25AE">
        <w:rPr>
          <w:rFonts w:ascii="Calibri" w:hAnsi="Calibri"/>
          <w:sz w:val="18"/>
          <w:lang w:val="fr-FR"/>
        </w:rPr>
        <w:t xml:space="preserve"> République Centrafricaine Ministère de la Santé et de la Population (2017). </w:t>
      </w:r>
      <w:r>
        <w:rPr>
          <w:rFonts w:ascii="Calibri" w:hAnsi="Calibri"/>
          <w:sz w:val="18"/>
        </w:rPr>
        <w:t>Plan Stratégique National du Lutte contre le Paludisme 2018-2022 étendu à 2023 [República Centro-Africana: Ministério da Saúde e da População (2017). Plano Estratégico Nacional da Luta contra a Malária 2018-2022, alargado até 2023].</w:t>
      </w:r>
    </w:p>
  </w:footnote>
  <w:footnote w:id="9">
    <w:p w14:paraId="5076E03C" w14:textId="58A50380" w:rsidR="00EA62B5" w:rsidRPr="00AD25AE" w:rsidRDefault="00EA62B5" w:rsidP="00B72099">
      <w:pPr>
        <w:pStyle w:val="FootnoteText"/>
        <w:rPr>
          <w:rFonts w:ascii="Calibri" w:hAnsi="Calibri" w:cs="Calibri"/>
          <w:sz w:val="18"/>
          <w:szCs w:val="18"/>
          <w:lang w:val="fr-FR"/>
        </w:rPr>
      </w:pPr>
      <w:r>
        <w:rPr>
          <w:rStyle w:val="FootnoteReference"/>
          <w:rFonts w:ascii="Calibri" w:hAnsi="Calibri" w:cs="Calibri"/>
          <w:sz w:val="18"/>
          <w:szCs w:val="18"/>
        </w:rPr>
        <w:footnoteRef/>
      </w:r>
      <w:r w:rsidRPr="00AD25AE">
        <w:rPr>
          <w:rFonts w:ascii="Calibri" w:hAnsi="Calibri"/>
          <w:sz w:val="18"/>
          <w:lang w:val="fr-FR"/>
        </w:rPr>
        <w:t xml:space="preserve"> Ibid.</w:t>
      </w:r>
    </w:p>
  </w:footnote>
  <w:footnote w:id="10">
    <w:p w14:paraId="53BC243C" w14:textId="6E9FCD5E" w:rsidR="00EA62B5" w:rsidRPr="008E000F" w:rsidRDefault="00EA62B5">
      <w:pPr>
        <w:pStyle w:val="FootnoteText"/>
        <w:rPr>
          <w:rFonts w:ascii="Calibri" w:hAnsi="Calibri" w:cs="Calibri"/>
          <w:sz w:val="18"/>
          <w:szCs w:val="18"/>
        </w:rPr>
      </w:pPr>
      <w:r>
        <w:rPr>
          <w:rStyle w:val="FootnoteReference"/>
          <w:rFonts w:ascii="Calibri" w:hAnsi="Calibri" w:cs="Calibri"/>
          <w:sz w:val="18"/>
          <w:szCs w:val="18"/>
        </w:rPr>
        <w:footnoteRef/>
      </w:r>
      <w:r w:rsidRPr="00AD25AE">
        <w:rPr>
          <w:rFonts w:ascii="Calibri" w:hAnsi="Calibri"/>
          <w:sz w:val="18"/>
          <w:lang w:val="fr-FR"/>
        </w:rPr>
        <w:t xml:space="preserve"> République Centrafricaine Ministère de la Santé et de la Population (2017). </w:t>
      </w:r>
      <w:r>
        <w:rPr>
          <w:rFonts w:ascii="Calibri" w:hAnsi="Calibri"/>
          <w:sz w:val="18"/>
        </w:rPr>
        <w:t xml:space="preserve">Enquête nationale sur les Indicateurs du Paludisme — Mai 2016 [República Centro-Africana: Ministério da Saúde e da População (2017). Inquérito Nacional sobre Indicadores de Malária — maio de 2016]. </w:t>
      </w:r>
    </w:p>
  </w:footnote>
  <w:footnote w:id="11">
    <w:p w14:paraId="2EACD50E" w14:textId="7F61A81E" w:rsidR="00EA62B5" w:rsidRPr="00B53AB2" w:rsidRDefault="00EA62B5">
      <w:pPr>
        <w:pStyle w:val="FootnoteText"/>
        <w:rPr>
          <w:rFonts w:ascii="Calibri" w:hAnsi="Calibri" w:cs="Calibri"/>
          <w:sz w:val="18"/>
          <w:szCs w:val="18"/>
        </w:rPr>
      </w:pPr>
      <w:r>
        <w:rPr>
          <w:rStyle w:val="FootnoteReference"/>
          <w:rFonts w:ascii="Calibri" w:hAnsi="Calibri" w:cs="Calibri"/>
          <w:sz w:val="18"/>
          <w:szCs w:val="18"/>
        </w:rPr>
        <w:footnoteRef/>
      </w:r>
      <w:r>
        <w:rPr>
          <w:rFonts w:ascii="Calibri" w:hAnsi="Calibri"/>
          <w:sz w:val="18"/>
        </w:rPr>
        <w:t xml:space="preserve"> PMI (2020). Relatório de Acesso e Utilização de MTI, RCA. Retirado em 2 de dezembro de 2020 de </w:t>
      </w:r>
      <w:hyperlink r:id="rId5" w:history="1">
        <w:r>
          <w:rPr>
            <w:rStyle w:val="Hyperlink"/>
            <w:rFonts w:ascii="Calibri" w:hAnsi="Calibri"/>
            <w:sz w:val="18"/>
          </w:rPr>
          <w:t>https://breakthroughactionandresearch.org/resources/MTI-use-and-access-report/RCA/</w:t>
        </w:r>
      </w:hyperlink>
      <w:r>
        <w:rPr>
          <w:rFonts w:ascii="Calibri" w:hAnsi="Calibri"/>
          <w:sz w:val="18"/>
        </w:rPr>
        <w:t xml:space="preserve"> </w:t>
      </w:r>
    </w:p>
  </w:footnote>
  <w:footnote w:id="12">
    <w:p w14:paraId="5AD336AF" w14:textId="124884A6" w:rsidR="00EA62B5" w:rsidRPr="00192708" w:rsidRDefault="00EA62B5">
      <w:pPr>
        <w:pStyle w:val="FootnoteText"/>
        <w:rPr>
          <w:rFonts w:ascii="Calibri" w:hAnsi="Calibri" w:cs="Calibri"/>
          <w:color w:val="000000" w:themeColor="text1"/>
          <w:sz w:val="18"/>
          <w:szCs w:val="18"/>
        </w:rPr>
      </w:pPr>
      <w:r>
        <w:rPr>
          <w:rStyle w:val="FootnoteReference"/>
          <w:rFonts w:ascii="Calibri" w:hAnsi="Calibri" w:cs="Calibri"/>
          <w:color w:val="000000" w:themeColor="text1"/>
          <w:sz w:val="18"/>
          <w:szCs w:val="18"/>
        </w:rPr>
        <w:footnoteRef/>
      </w:r>
      <w:r>
        <w:rPr>
          <w:rFonts w:ascii="Calibri" w:hAnsi="Calibri"/>
          <w:color w:val="000000" w:themeColor="text1"/>
          <w:sz w:val="18"/>
        </w:rPr>
        <w:t xml:space="preserve"> Aliança para a Prevenção da Malária (AMP), Moyen J.M., (2020). </w:t>
      </w:r>
      <w:r>
        <w:rPr>
          <w:rFonts w:ascii="Calibri" w:hAnsi="Calibri"/>
          <w:i/>
          <w:iCs/>
          <w:color w:val="000000" w:themeColor="text1"/>
          <w:sz w:val="18"/>
        </w:rPr>
        <w:t>CAR ITN Campaign Situation Report</w:t>
      </w:r>
      <w:r>
        <w:rPr>
          <w:rFonts w:ascii="Calibri" w:hAnsi="Calibri"/>
          <w:color w:val="000000" w:themeColor="text1"/>
          <w:sz w:val="18"/>
        </w:rPr>
        <w:t xml:space="preserve"> [Relatório da Situação da Campanha de MTI na RCA], 2 de novembro de 2020. </w:t>
      </w:r>
    </w:p>
  </w:footnote>
  <w:footnote w:id="13">
    <w:p w14:paraId="122859D6" w14:textId="0A9F36D7" w:rsidR="00EA62B5" w:rsidRPr="00192708" w:rsidRDefault="00EA62B5">
      <w:pPr>
        <w:pStyle w:val="FootnoteText"/>
        <w:rPr>
          <w:rFonts w:ascii="Calibri" w:hAnsi="Calibri" w:cs="Calibri"/>
          <w:sz w:val="18"/>
          <w:szCs w:val="18"/>
        </w:rPr>
      </w:pPr>
      <w:r>
        <w:rPr>
          <w:rStyle w:val="FootnoteReference"/>
          <w:rFonts w:ascii="Calibri" w:hAnsi="Calibri" w:cs="Calibri"/>
          <w:sz w:val="18"/>
          <w:szCs w:val="18"/>
        </w:rPr>
        <w:footnoteRef/>
      </w:r>
      <w:r>
        <w:rPr>
          <w:rFonts w:ascii="Calibri" w:hAnsi="Calibri"/>
          <w:sz w:val="18"/>
        </w:rPr>
        <w:t xml:space="preserve"> </w:t>
      </w:r>
      <w:hyperlink r:id="rId6" w:anchor=":~:text=Central%20African%20Republic%20Coronavirus%3A%204%2C936%20Cases%20and%2063%20Deaths%20%2D%20Worldometer" w:history="1">
        <w:r>
          <w:rPr>
            <w:rStyle w:val="Hyperlink"/>
            <w:rFonts w:ascii="Calibri" w:hAnsi="Calibri"/>
            <w:sz w:val="18"/>
          </w:rPr>
          <w:t>https://www.worldometers.info/coronavirus/country/central-african-republic/#:~:text=Central%20African%20Republic%20Coronavirus%3A%204%2C936%20Cases%20and%2063%20Deaths%20%2D%20Worldometer</w:t>
        </w:r>
      </w:hyperlink>
      <w:r>
        <w:rPr>
          <w:rFonts w:ascii="Calibri" w:hAnsi="Calibri"/>
          <w:sz w:val="18"/>
        </w:rPr>
        <w:t xml:space="preserve"> </w:t>
      </w:r>
    </w:p>
  </w:footnote>
  <w:footnote w:id="14">
    <w:p w14:paraId="3EC8D5CD" w14:textId="031580F8" w:rsidR="00EA62B5" w:rsidRPr="00524F9E" w:rsidRDefault="00EA62B5">
      <w:pPr>
        <w:pStyle w:val="FootnoteText"/>
        <w:rPr>
          <w:rFonts w:ascii="Calibri" w:hAnsi="Calibri" w:cs="Calibri"/>
          <w:color w:val="000000" w:themeColor="text1"/>
          <w:sz w:val="18"/>
          <w:szCs w:val="18"/>
        </w:rPr>
      </w:pPr>
      <w:r>
        <w:rPr>
          <w:rStyle w:val="FootnoteReference"/>
          <w:rFonts w:ascii="Calibri" w:hAnsi="Calibri" w:cs="Calibri"/>
          <w:color w:val="000000" w:themeColor="text1"/>
          <w:sz w:val="18"/>
          <w:szCs w:val="18"/>
        </w:rPr>
        <w:footnoteRef/>
      </w:r>
      <w:r>
        <w:rPr>
          <w:rFonts w:ascii="Calibri" w:hAnsi="Calibri"/>
          <w:color w:val="000000" w:themeColor="text1"/>
          <w:sz w:val="18"/>
        </w:rPr>
        <w:t xml:space="preserve"> OCHA (2020). </w:t>
      </w:r>
      <w:r>
        <w:rPr>
          <w:rFonts w:ascii="Calibri" w:hAnsi="Calibri"/>
          <w:i/>
          <w:iCs/>
          <w:color w:val="000000" w:themeColor="text1"/>
          <w:sz w:val="18"/>
        </w:rPr>
        <w:t>CAR Situation Report</w:t>
      </w:r>
      <w:r>
        <w:rPr>
          <w:rFonts w:ascii="Calibri" w:hAnsi="Calibri"/>
          <w:color w:val="000000" w:themeColor="text1"/>
          <w:sz w:val="18"/>
        </w:rPr>
        <w:t xml:space="preserve"> [Relatório sobre a situação da RCA], 30 de novembro de 2020.</w:t>
      </w:r>
    </w:p>
  </w:footnote>
  <w:footnote w:id="15">
    <w:p w14:paraId="0D496610" w14:textId="77777777" w:rsidR="00EA62B5" w:rsidRPr="00693531" w:rsidRDefault="00EA62B5" w:rsidP="00037A7B">
      <w:pPr>
        <w:pStyle w:val="FootnoteText"/>
        <w:rPr>
          <w:rFonts w:ascii="Calibri" w:hAnsi="Calibri" w:cs="Calibri"/>
          <w:sz w:val="18"/>
          <w:szCs w:val="18"/>
        </w:rPr>
      </w:pPr>
      <w:r>
        <w:rPr>
          <w:rStyle w:val="FootnoteReference"/>
          <w:rFonts w:ascii="Calibri" w:hAnsi="Calibri" w:cs="Calibri"/>
          <w:sz w:val="18"/>
          <w:szCs w:val="18"/>
        </w:rPr>
        <w:footnoteRef/>
      </w:r>
      <w:r>
        <w:rPr>
          <w:rFonts w:ascii="Calibri" w:hAnsi="Calibri"/>
          <w:sz w:val="18"/>
        </w:rPr>
        <w:t xml:space="preserve"> Em Sango, a língua nacional da RCA, "londo" significa "levantar-se". </w:t>
      </w:r>
    </w:p>
  </w:footnote>
  <w:footnote w:id="16">
    <w:p w14:paraId="137E294F" w14:textId="77777777" w:rsidR="00EA62B5" w:rsidRPr="00524F9E" w:rsidRDefault="00EA62B5" w:rsidP="00940BF6">
      <w:pPr>
        <w:pStyle w:val="FootnoteText"/>
        <w:rPr>
          <w:rFonts w:ascii="Calibri" w:hAnsi="Calibri" w:cs="Calibri"/>
          <w:color w:val="000000" w:themeColor="text1"/>
          <w:sz w:val="18"/>
          <w:szCs w:val="18"/>
        </w:rPr>
      </w:pPr>
      <w:r>
        <w:rPr>
          <w:rStyle w:val="FootnoteReference"/>
          <w:rFonts w:ascii="Calibri" w:hAnsi="Calibri" w:cs="Calibri"/>
          <w:color w:val="000000" w:themeColor="text1"/>
          <w:sz w:val="18"/>
          <w:szCs w:val="18"/>
        </w:rPr>
        <w:footnoteRef/>
      </w:r>
      <w:r>
        <w:rPr>
          <w:rFonts w:ascii="Calibri" w:hAnsi="Calibri"/>
          <w:color w:val="000000" w:themeColor="text1"/>
          <w:sz w:val="18"/>
        </w:rPr>
        <w:t xml:space="preserve"> Aliança para a Prevenção da Malária (AMP), </w:t>
      </w:r>
      <w:r w:rsidRPr="00B31140">
        <w:rPr>
          <w:rFonts w:ascii="Calibri" w:hAnsi="Calibri"/>
          <w:color w:val="000000" w:themeColor="text1"/>
          <w:sz w:val="18"/>
        </w:rPr>
        <w:t>Net Mapping Project, 2020 Third Quarter Report</w:t>
      </w:r>
      <w:r>
        <w:rPr>
          <w:rFonts w:ascii="Calibri" w:hAnsi="Calibri"/>
          <w:color w:val="000000" w:themeColor="text1"/>
          <w:sz w:val="18"/>
        </w:rPr>
        <w:t xml:space="preserve"> [Projeto de Mapeamento de Mosquiteiros, Relatório do Terceiro Trimestre de 2020]. </w:t>
      </w:r>
    </w:p>
  </w:footnote>
  <w:footnote w:id="17">
    <w:p w14:paraId="6A037564" w14:textId="0F6ABB07" w:rsidR="00EA62B5" w:rsidRPr="00FA0AAA" w:rsidRDefault="00EA62B5" w:rsidP="00940BF6">
      <w:pPr>
        <w:rPr>
          <w:rFonts w:ascii="Calibri" w:hAnsi="Calibri" w:cs="Calibri"/>
          <w:color w:val="000000" w:themeColor="text1"/>
          <w:sz w:val="18"/>
          <w:szCs w:val="18"/>
        </w:rPr>
      </w:pPr>
      <w:r>
        <w:rPr>
          <w:rStyle w:val="FootnoteReference"/>
          <w:rFonts w:ascii="Calibri" w:hAnsi="Calibri" w:cs="Calibri"/>
          <w:color w:val="000000" w:themeColor="text1"/>
          <w:sz w:val="18"/>
          <w:szCs w:val="18"/>
        </w:rPr>
        <w:footnoteRef/>
      </w:r>
      <w:r>
        <w:rPr>
          <w:rFonts w:ascii="Calibri" w:hAnsi="Calibri"/>
          <w:color w:val="000000" w:themeColor="text1"/>
          <w:sz w:val="18"/>
        </w:rPr>
        <w:t xml:space="preserve"> As vacinas pentavalentes protegem as crianças de cinco doenças (difteria, tosse convulsa, tétano, hepatite B, e </w:t>
      </w:r>
      <w:r>
        <w:rPr>
          <w:rFonts w:ascii="Calibri" w:hAnsi="Calibri"/>
          <w:color w:val="000000" w:themeColor="text1"/>
          <w:sz w:val="18"/>
          <w:shd w:val="clear" w:color="auto" w:fill="FFFFFF"/>
        </w:rPr>
        <w:t>haemophilus influenzae tipo b (</w:t>
      </w:r>
      <w:r>
        <w:rPr>
          <w:rFonts w:ascii="Calibri" w:hAnsi="Calibri"/>
          <w:color w:val="000000" w:themeColor="text1"/>
          <w:sz w:val="18"/>
        </w:rPr>
        <w:t xml:space="preserve">Hib)). As vacinas pentavalentes são geralmente administradas às 6, 10 e 14 semanas de idade. </w:t>
      </w:r>
    </w:p>
  </w:footnote>
  <w:footnote w:id="18">
    <w:p w14:paraId="21BB784A" w14:textId="6B014C99" w:rsidR="00EA62B5" w:rsidRPr="00405256" w:rsidRDefault="00EA62B5" w:rsidP="00940BF6">
      <w:pPr>
        <w:pStyle w:val="FootnoteText"/>
        <w:rPr>
          <w:rFonts w:ascii="Calibri" w:hAnsi="Calibri" w:cs="Calibri"/>
          <w:color w:val="000000" w:themeColor="text1"/>
          <w:sz w:val="18"/>
          <w:szCs w:val="18"/>
        </w:rPr>
      </w:pPr>
      <w:r>
        <w:rPr>
          <w:rStyle w:val="FootnoteReference"/>
          <w:rFonts w:ascii="Calibri" w:hAnsi="Calibri" w:cs="Calibri"/>
          <w:color w:val="000000" w:themeColor="text1"/>
          <w:sz w:val="18"/>
          <w:szCs w:val="18"/>
        </w:rPr>
        <w:footnoteRef/>
      </w:r>
      <w:r w:rsidRPr="00AD25AE">
        <w:rPr>
          <w:rFonts w:ascii="Calibri" w:hAnsi="Calibri"/>
          <w:color w:val="000000" w:themeColor="text1"/>
          <w:sz w:val="18"/>
          <w:lang w:val="fr-FR"/>
        </w:rPr>
        <w:t xml:space="preserve"> République Centrafricaine Ministère de la Santé et de la Population (2017). </w:t>
      </w:r>
      <w:r>
        <w:rPr>
          <w:rFonts w:ascii="Calibri" w:hAnsi="Calibri"/>
          <w:color w:val="000000" w:themeColor="text1"/>
          <w:sz w:val="18"/>
        </w:rPr>
        <w:t>Plan Stratégique National du Lutte contre le Paludisme 2018-2022 étendu à 2023 [República Centro-Africana: Ministério da Saúde e da População (2017). Plano Estratégico Nacional da Luta contra a Malária 2018-2022, alargado até 2023].</w:t>
      </w:r>
    </w:p>
  </w:footnote>
  <w:footnote w:id="19">
    <w:p w14:paraId="30026522" w14:textId="749D3562" w:rsidR="00EA62B5" w:rsidRPr="00405256" w:rsidRDefault="00EA62B5" w:rsidP="00940BF6">
      <w:pPr>
        <w:pStyle w:val="FootnoteText"/>
        <w:rPr>
          <w:rFonts w:ascii="Calibri" w:hAnsi="Calibri" w:cs="Calibri"/>
          <w:color w:val="000000" w:themeColor="text1"/>
          <w:sz w:val="18"/>
          <w:szCs w:val="18"/>
        </w:rPr>
      </w:pPr>
      <w:r>
        <w:rPr>
          <w:rStyle w:val="FootnoteReference"/>
          <w:rFonts w:ascii="Calibri" w:hAnsi="Calibri" w:cs="Calibri"/>
          <w:color w:val="000000" w:themeColor="text1"/>
          <w:sz w:val="18"/>
          <w:szCs w:val="18"/>
        </w:rPr>
        <w:footnoteRef/>
      </w:r>
      <w:r>
        <w:rPr>
          <w:rFonts w:ascii="Calibri" w:hAnsi="Calibri"/>
          <w:color w:val="000000" w:themeColor="text1"/>
          <w:sz w:val="18"/>
        </w:rPr>
        <w:t xml:space="preserve"> AMP (2020). Notas da entrevista, discussão com o PNCM da RCA e a World Vision International (WVI), 25 de novembro de 2020.</w:t>
      </w:r>
    </w:p>
  </w:footnote>
  <w:footnote w:id="20">
    <w:p w14:paraId="08BA18A6" w14:textId="2F1DF1DD" w:rsidR="00EA62B5" w:rsidRPr="00405256" w:rsidRDefault="00EA62B5" w:rsidP="009E4809">
      <w:pPr>
        <w:pStyle w:val="FootnoteText"/>
        <w:rPr>
          <w:rFonts w:ascii="Calibri" w:hAnsi="Calibri" w:cs="Calibri"/>
          <w:color w:val="000000" w:themeColor="text1"/>
          <w:sz w:val="18"/>
          <w:szCs w:val="18"/>
        </w:rPr>
      </w:pPr>
      <w:r>
        <w:rPr>
          <w:rStyle w:val="FootnoteReference"/>
          <w:rFonts w:ascii="Calibri" w:hAnsi="Calibri" w:cs="Calibri"/>
          <w:color w:val="000000" w:themeColor="text1"/>
          <w:sz w:val="18"/>
          <w:szCs w:val="18"/>
        </w:rPr>
        <w:footnoteRef/>
      </w:r>
      <w:r>
        <w:rPr>
          <w:rFonts w:ascii="Calibri" w:hAnsi="Calibri"/>
          <w:color w:val="000000" w:themeColor="text1"/>
          <w:sz w:val="18"/>
        </w:rPr>
        <w:t xml:space="preserve"> World Vision International (WVI), E-mail de Byicaza, O., 2 de dezembro de 2020. </w:t>
      </w:r>
    </w:p>
  </w:footnote>
  <w:footnote w:id="21">
    <w:p w14:paraId="4FA24162" w14:textId="2AD47072" w:rsidR="00EA62B5" w:rsidRPr="00405256" w:rsidRDefault="00EA62B5">
      <w:pPr>
        <w:pStyle w:val="FootnoteText"/>
        <w:rPr>
          <w:rFonts w:ascii="Calibri" w:hAnsi="Calibri" w:cs="Calibri"/>
          <w:color w:val="000000" w:themeColor="text1"/>
          <w:sz w:val="18"/>
          <w:szCs w:val="18"/>
        </w:rPr>
      </w:pPr>
      <w:r>
        <w:rPr>
          <w:rStyle w:val="FootnoteReference"/>
          <w:rFonts w:ascii="Calibri" w:hAnsi="Calibri" w:cs="Calibri"/>
          <w:color w:val="000000" w:themeColor="text1"/>
          <w:sz w:val="18"/>
          <w:szCs w:val="18"/>
        </w:rPr>
        <w:footnoteRef/>
      </w:r>
      <w:r>
        <w:rPr>
          <w:rFonts w:ascii="Calibri" w:hAnsi="Calibri"/>
          <w:color w:val="000000" w:themeColor="text1"/>
          <w:sz w:val="18"/>
        </w:rPr>
        <w:t xml:space="preserve"> AMP (2020). Notas da entrevista, discussão com o PNCM da RCA e a World Vision International (WVI), 25 de novembro de 2020.</w:t>
      </w:r>
    </w:p>
  </w:footnote>
  <w:footnote w:id="22">
    <w:p w14:paraId="3B91EFBF" w14:textId="30409AC6" w:rsidR="00EA62B5" w:rsidRPr="00405256" w:rsidRDefault="00EA62B5" w:rsidP="009E361A">
      <w:pPr>
        <w:pStyle w:val="FootnoteText"/>
        <w:rPr>
          <w:rFonts w:ascii="Calibri" w:hAnsi="Calibri" w:cs="Calibri"/>
          <w:color w:val="000000" w:themeColor="text1"/>
          <w:sz w:val="18"/>
          <w:szCs w:val="18"/>
        </w:rPr>
      </w:pPr>
      <w:r>
        <w:rPr>
          <w:rStyle w:val="FootnoteReference"/>
          <w:rFonts w:ascii="Calibri" w:hAnsi="Calibri" w:cs="Calibri"/>
          <w:color w:val="000000" w:themeColor="text1"/>
          <w:sz w:val="18"/>
          <w:szCs w:val="18"/>
        </w:rPr>
        <w:footnoteRef/>
      </w:r>
      <w:r>
        <w:rPr>
          <w:rFonts w:ascii="Calibri" w:hAnsi="Calibri"/>
          <w:color w:val="000000" w:themeColor="text1"/>
          <w:sz w:val="18"/>
        </w:rPr>
        <w:t xml:space="preserve">AMP, Moyen J.M., (2020). </w:t>
      </w:r>
      <w:r>
        <w:rPr>
          <w:rFonts w:ascii="Calibri" w:hAnsi="Calibri"/>
          <w:i/>
          <w:iCs/>
          <w:color w:val="000000" w:themeColor="text1"/>
          <w:sz w:val="18"/>
        </w:rPr>
        <w:t>CAR ITN Campaign Situation Report</w:t>
      </w:r>
      <w:r>
        <w:rPr>
          <w:rFonts w:ascii="Calibri" w:hAnsi="Calibri"/>
          <w:color w:val="000000" w:themeColor="text1"/>
          <w:sz w:val="18"/>
        </w:rPr>
        <w:t xml:space="preserve"> [Relatório da Situação da Campanha de MTI na RCA], 2 de novembro de 2020. </w:t>
      </w:r>
    </w:p>
    <w:p w14:paraId="3AC0CE9A" w14:textId="794237A7" w:rsidR="00EA62B5" w:rsidRPr="001D7BE6" w:rsidRDefault="00EA62B5">
      <w:pPr>
        <w:pStyle w:val="FootnoteText"/>
        <w:rPr>
          <w:sz w:val="18"/>
          <w:szCs w:val="18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11A0C" w14:textId="2839F4E7" w:rsidR="00EA62B5" w:rsidRDefault="003A764C" w:rsidP="003A764C">
    <w:pPr>
      <w:pStyle w:val="Header"/>
      <w:jc w:val="center"/>
    </w:pPr>
    <w:r>
      <w:rPr>
        <w:noProof/>
        <w:lang w:val="de-CH" w:eastAsia="de-CH"/>
      </w:rPr>
      <w:drawing>
        <wp:inline distT="0" distB="0" distL="0" distR="0" wp14:anchorId="73E0F623" wp14:editId="184F87CA">
          <wp:extent cx="961293" cy="890954"/>
          <wp:effectExtent l="0" t="0" r="0" b="0"/>
          <wp:docPr id="8" name="Picture 1" descr="600px-Central-african-republic_hi_res_d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600px-Central-african-republic_hi_res_d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346" cy="8928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7509B3" w14:textId="6F01F250" w:rsidR="003A764C" w:rsidRDefault="003A764C" w:rsidP="003A764C">
    <w:pPr>
      <w:pStyle w:val="Header"/>
      <w:jc w:val="center"/>
    </w:pPr>
  </w:p>
  <w:p w14:paraId="38B9E28C" w14:textId="0A5A87DB" w:rsidR="003A764C" w:rsidRDefault="003A764C" w:rsidP="003A764C">
    <w:pPr>
      <w:pStyle w:val="Header"/>
      <w:jc w:val="center"/>
    </w:pPr>
    <w:r>
      <w:rPr>
        <w:rFonts w:ascii="Times New Roman" w:hAnsi="Times New Roman"/>
        <w:b/>
        <w:noProof/>
        <w:lang w:val="de-CH" w:eastAsia="de-CH"/>
      </w:rPr>
      <w:drawing>
        <wp:inline distT="0" distB="0" distL="0" distR="0" wp14:anchorId="4E1A9428" wp14:editId="6CB293D3">
          <wp:extent cx="2527330" cy="1348894"/>
          <wp:effectExtent l="0" t="0" r="0" b="0"/>
          <wp:docPr id="10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3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0150" cy="136107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C3017"/>
    <w:multiLevelType w:val="hybridMultilevel"/>
    <w:tmpl w:val="26E2FB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C7943"/>
    <w:multiLevelType w:val="hybridMultilevel"/>
    <w:tmpl w:val="BC8CE6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B0D05"/>
    <w:multiLevelType w:val="hybridMultilevel"/>
    <w:tmpl w:val="3F5E80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5202AD2"/>
    <w:multiLevelType w:val="hybridMultilevel"/>
    <w:tmpl w:val="6F628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D621A3"/>
    <w:multiLevelType w:val="hybridMultilevel"/>
    <w:tmpl w:val="1696EB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C945B9"/>
    <w:multiLevelType w:val="hybridMultilevel"/>
    <w:tmpl w:val="00CA84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B3C7F95"/>
    <w:multiLevelType w:val="hybridMultilevel"/>
    <w:tmpl w:val="B994D6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D462CE9"/>
    <w:multiLevelType w:val="hybridMultilevel"/>
    <w:tmpl w:val="4838D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C37F0B"/>
    <w:multiLevelType w:val="hybridMultilevel"/>
    <w:tmpl w:val="4C5AA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2550B5"/>
    <w:multiLevelType w:val="hybridMultilevel"/>
    <w:tmpl w:val="0FB27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5740DA"/>
    <w:multiLevelType w:val="hybridMultilevel"/>
    <w:tmpl w:val="3AD6A3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72C75AE"/>
    <w:multiLevelType w:val="hybridMultilevel"/>
    <w:tmpl w:val="C374C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A11B54"/>
    <w:multiLevelType w:val="hybridMultilevel"/>
    <w:tmpl w:val="5F5496CC"/>
    <w:lvl w:ilvl="0" w:tplc="9EC20E34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384535"/>
    <w:multiLevelType w:val="hybridMultilevel"/>
    <w:tmpl w:val="83D4C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FE5792"/>
    <w:multiLevelType w:val="hybridMultilevel"/>
    <w:tmpl w:val="812CE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BC6C26"/>
    <w:multiLevelType w:val="hybridMultilevel"/>
    <w:tmpl w:val="90CA13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C62878"/>
    <w:multiLevelType w:val="hybridMultilevel"/>
    <w:tmpl w:val="774E4AF2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7" w15:restartNumberingAfterBreak="0">
    <w:nsid w:val="766669C2"/>
    <w:multiLevelType w:val="hybridMultilevel"/>
    <w:tmpl w:val="EFE02868"/>
    <w:lvl w:ilvl="0" w:tplc="A6D23496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0227F0"/>
    <w:multiLevelType w:val="hybridMultilevel"/>
    <w:tmpl w:val="94587BD4"/>
    <w:lvl w:ilvl="0" w:tplc="04090001">
      <w:start w:val="1"/>
      <w:numFmt w:val="bullet"/>
      <w:lvlText w:val=""/>
      <w:lvlJc w:val="left"/>
      <w:pPr>
        <w:ind w:left="-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16"/>
  </w:num>
  <w:num w:numId="4">
    <w:abstractNumId w:val="1"/>
  </w:num>
  <w:num w:numId="5">
    <w:abstractNumId w:val="10"/>
  </w:num>
  <w:num w:numId="6">
    <w:abstractNumId w:val="12"/>
  </w:num>
  <w:num w:numId="7">
    <w:abstractNumId w:val="7"/>
  </w:num>
  <w:num w:numId="8">
    <w:abstractNumId w:val="8"/>
  </w:num>
  <w:num w:numId="9">
    <w:abstractNumId w:val="6"/>
  </w:num>
  <w:num w:numId="10">
    <w:abstractNumId w:val="0"/>
  </w:num>
  <w:num w:numId="11">
    <w:abstractNumId w:val="4"/>
  </w:num>
  <w:num w:numId="12">
    <w:abstractNumId w:val="3"/>
  </w:num>
  <w:num w:numId="13">
    <w:abstractNumId w:val="17"/>
  </w:num>
  <w:num w:numId="14">
    <w:abstractNumId w:val="2"/>
  </w:num>
  <w:num w:numId="15">
    <w:abstractNumId w:val="13"/>
  </w:num>
  <w:num w:numId="16">
    <w:abstractNumId w:val="5"/>
  </w:num>
  <w:num w:numId="17">
    <w:abstractNumId w:val="18"/>
  </w:num>
  <w:num w:numId="18">
    <w:abstractNumId w:val="9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68EE"/>
    <w:rsid w:val="0000052D"/>
    <w:rsid w:val="00002B33"/>
    <w:rsid w:val="000168FD"/>
    <w:rsid w:val="00021113"/>
    <w:rsid w:val="00021DF0"/>
    <w:rsid w:val="00037A7B"/>
    <w:rsid w:val="000411C0"/>
    <w:rsid w:val="00052B82"/>
    <w:rsid w:val="000620D2"/>
    <w:rsid w:val="0007166B"/>
    <w:rsid w:val="0007682D"/>
    <w:rsid w:val="000852E0"/>
    <w:rsid w:val="000B7C45"/>
    <w:rsid w:val="000C5F7A"/>
    <w:rsid w:val="000E1692"/>
    <w:rsid w:val="000E1DF2"/>
    <w:rsid w:val="000E20D4"/>
    <w:rsid w:val="000F71BD"/>
    <w:rsid w:val="001003E1"/>
    <w:rsid w:val="00107B4A"/>
    <w:rsid w:val="00111CAF"/>
    <w:rsid w:val="00135C6D"/>
    <w:rsid w:val="0015090E"/>
    <w:rsid w:val="00152BA7"/>
    <w:rsid w:val="0015782D"/>
    <w:rsid w:val="0016399D"/>
    <w:rsid w:val="00174D27"/>
    <w:rsid w:val="001754FA"/>
    <w:rsid w:val="00192708"/>
    <w:rsid w:val="001A4FC8"/>
    <w:rsid w:val="001B02D5"/>
    <w:rsid w:val="001B664F"/>
    <w:rsid w:val="001B705E"/>
    <w:rsid w:val="001C070D"/>
    <w:rsid w:val="001C2CFF"/>
    <w:rsid w:val="001D09D3"/>
    <w:rsid w:val="001D1D5D"/>
    <w:rsid w:val="001D7BE6"/>
    <w:rsid w:val="001E2EEB"/>
    <w:rsid w:val="001E441E"/>
    <w:rsid w:val="001E4FAE"/>
    <w:rsid w:val="001F4333"/>
    <w:rsid w:val="001F59D9"/>
    <w:rsid w:val="001F5EBF"/>
    <w:rsid w:val="002036B6"/>
    <w:rsid w:val="00203C93"/>
    <w:rsid w:val="0021098B"/>
    <w:rsid w:val="00214598"/>
    <w:rsid w:val="002173AF"/>
    <w:rsid w:val="002226D7"/>
    <w:rsid w:val="00237DE4"/>
    <w:rsid w:val="00244671"/>
    <w:rsid w:val="00245577"/>
    <w:rsid w:val="00246169"/>
    <w:rsid w:val="002514E3"/>
    <w:rsid w:val="0025276E"/>
    <w:rsid w:val="00254830"/>
    <w:rsid w:val="00255976"/>
    <w:rsid w:val="0026318E"/>
    <w:rsid w:val="00274D37"/>
    <w:rsid w:val="00277BE3"/>
    <w:rsid w:val="00282C14"/>
    <w:rsid w:val="00283B26"/>
    <w:rsid w:val="002A42AF"/>
    <w:rsid w:val="002B0E57"/>
    <w:rsid w:val="002B7125"/>
    <w:rsid w:val="002C43EC"/>
    <w:rsid w:val="002D0D6F"/>
    <w:rsid w:val="002D0DD1"/>
    <w:rsid w:val="002D7A91"/>
    <w:rsid w:val="002E0243"/>
    <w:rsid w:val="002F61C5"/>
    <w:rsid w:val="002F6BAE"/>
    <w:rsid w:val="00307562"/>
    <w:rsid w:val="0031357B"/>
    <w:rsid w:val="003260B5"/>
    <w:rsid w:val="00331099"/>
    <w:rsid w:val="00336789"/>
    <w:rsid w:val="00336B20"/>
    <w:rsid w:val="00346066"/>
    <w:rsid w:val="00352E73"/>
    <w:rsid w:val="003572FD"/>
    <w:rsid w:val="00362BFF"/>
    <w:rsid w:val="003763A1"/>
    <w:rsid w:val="00382E4D"/>
    <w:rsid w:val="00384E2F"/>
    <w:rsid w:val="00393774"/>
    <w:rsid w:val="00396BEC"/>
    <w:rsid w:val="003A04F7"/>
    <w:rsid w:val="003A28D2"/>
    <w:rsid w:val="003A764C"/>
    <w:rsid w:val="003B1C14"/>
    <w:rsid w:val="003E1F13"/>
    <w:rsid w:val="003E2991"/>
    <w:rsid w:val="004001F8"/>
    <w:rsid w:val="00405256"/>
    <w:rsid w:val="00411B24"/>
    <w:rsid w:val="00421300"/>
    <w:rsid w:val="004226A0"/>
    <w:rsid w:val="00424059"/>
    <w:rsid w:val="0042626F"/>
    <w:rsid w:val="00427BD1"/>
    <w:rsid w:val="004408FF"/>
    <w:rsid w:val="004428B1"/>
    <w:rsid w:val="00443A14"/>
    <w:rsid w:val="00445E94"/>
    <w:rsid w:val="00457553"/>
    <w:rsid w:val="00465859"/>
    <w:rsid w:val="004777E4"/>
    <w:rsid w:val="00480F0E"/>
    <w:rsid w:val="00483908"/>
    <w:rsid w:val="00493755"/>
    <w:rsid w:val="00496E5F"/>
    <w:rsid w:val="004A49A0"/>
    <w:rsid w:val="004A747C"/>
    <w:rsid w:val="004B251E"/>
    <w:rsid w:val="004C6254"/>
    <w:rsid w:val="004D7611"/>
    <w:rsid w:val="004E00B6"/>
    <w:rsid w:val="004F38F8"/>
    <w:rsid w:val="00505A61"/>
    <w:rsid w:val="00506AD9"/>
    <w:rsid w:val="00514A67"/>
    <w:rsid w:val="00517E0B"/>
    <w:rsid w:val="00521C42"/>
    <w:rsid w:val="00524F9E"/>
    <w:rsid w:val="005272C3"/>
    <w:rsid w:val="005337D8"/>
    <w:rsid w:val="005337EA"/>
    <w:rsid w:val="00545340"/>
    <w:rsid w:val="005553A9"/>
    <w:rsid w:val="00560F7F"/>
    <w:rsid w:val="00570A63"/>
    <w:rsid w:val="0057762A"/>
    <w:rsid w:val="00597CEC"/>
    <w:rsid w:val="005A043D"/>
    <w:rsid w:val="005A1977"/>
    <w:rsid w:val="005A3B3B"/>
    <w:rsid w:val="005B1F28"/>
    <w:rsid w:val="005B6ABD"/>
    <w:rsid w:val="005C38B5"/>
    <w:rsid w:val="005C7AAC"/>
    <w:rsid w:val="005D3138"/>
    <w:rsid w:val="005E34A9"/>
    <w:rsid w:val="005E54F1"/>
    <w:rsid w:val="005E7749"/>
    <w:rsid w:val="005F2378"/>
    <w:rsid w:val="005F3E4C"/>
    <w:rsid w:val="005F70DD"/>
    <w:rsid w:val="00600822"/>
    <w:rsid w:val="00614360"/>
    <w:rsid w:val="00616A57"/>
    <w:rsid w:val="00625DEA"/>
    <w:rsid w:val="006321E5"/>
    <w:rsid w:val="00634D04"/>
    <w:rsid w:val="006416FA"/>
    <w:rsid w:val="0064559B"/>
    <w:rsid w:val="006474F6"/>
    <w:rsid w:val="00654152"/>
    <w:rsid w:val="00654A3E"/>
    <w:rsid w:val="00662223"/>
    <w:rsid w:val="00664F73"/>
    <w:rsid w:val="006715D4"/>
    <w:rsid w:val="00680D51"/>
    <w:rsid w:val="00685D72"/>
    <w:rsid w:val="00693531"/>
    <w:rsid w:val="00697FA0"/>
    <w:rsid w:val="006A003D"/>
    <w:rsid w:val="006A225A"/>
    <w:rsid w:val="006B017E"/>
    <w:rsid w:val="006B36CD"/>
    <w:rsid w:val="006C028A"/>
    <w:rsid w:val="006C512C"/>
    <w:rsid w:val="006D4AD6"/>
    <w:rsid w:val="006D6F72"/>
    <w:rsid w:val="006E22A6"/>
    <w:rsid w:val="006F2BEF"/>
    <w:rsid w:val="006F31B4"/>
    <w:rsid w:val="006F38AE"/>
    <w:rsid w:val="006F3F60"/>
    <w:rsid w:val="006F4A0D"/>
    <w:rsid w:val="00711506"/>
    <w:rsid w:val="007279AE"/>
    <w:rsid w:val="007309ED"/>
    <w:rsid w:val="00730F51"/>
    <w:rsid w:val="0074701A"/>
    <w:rsid w:val="00750AD1"/>
    <w:rsid w:val="007555D6"/>
    <w:rsid w:val="00763957"/>
    <w:rsid w:val="00764088"/>
    <w:rsid w:val="0076603F"/>
    <w:rsid w:val="007836B2"/>
    <w:rsid w:val="00792639"/>
    <w:rsid w:val="007952C3"/>
    <w:rsid w:val="007A63D4"/>
    <w:rsid w:val="007C3426"/>
    <w:rsid w:val="007C7A7B"/>
    <w:rsid w:val="007D0D84"/>
    <w:rsid w:val="007D0EC2"/>
    <w:rsid w:val="007D15C1"/>
    <w:rsid w:val="007D3825"/>
    <w:rsid w:val="007F3E0C"/>
    <w:rsid w:val="00803071"/>
    <w:rsid w:val="00806A6A"/>
    <w:rsid w:val="00815302"/>
    <w:rsid w:val="008165C1"/>
    <w:rsid w:val="008224FA"/>
    <w:rsid w:val="0082255B"/>
    <w:rsid w:val="00825017"/>
    <w:rsid w:val="00830E64"/>
    <w:rsid w:val="00867DCA"/>
    <w:rsid w:val="00870BDB"/>
    <w:rsid w:val="00875637"/>
    <w:rsid w:val="00883053"/>
    <w:rsid w:val="00885CB8"/>
    <w:rsid w:val="008A66F6"/>
    <w:rsid w:val="008B78DB"/>
    <w:rsid w:val="008C3E4F"/>
    <w:rsid w:val="008D1513"/>
    <w:rsid w:val="008D2037"/>
    <w:rsid w:val="008E000F"/>
    <w:rsid w:val="008E2CF5"/>
    <w:rsid w:val="008E6143"/>
    <w:rsid w:val="008E6199"/>
    <w:rsid w:val="008E6273"/>
    <w:rsid w:val="00903DDF"/>
    <w:rsid w:val="00911A8F"/>
    <w:rsid w:val="009216E9"/>
    <w:rsid w:val="00924BC9"/>
    <w:rsid w:val="00932A17"/>
    <w:rsid w:val="00940BF6"/>
    <w:rsid w:val="00940F20"/>
    <w:rsid w:val="009422FA"/>
    <w:rsid w:val="009432D4"/>
    <w:rsid w:val="00955BF7"/>
    <w:rsid w:val="00973425"/>
    <w:rsid w:val="00982E8C"/>
    <w:rsid w:val="0098321B"/>
    <w:rsid w:val="009A0C54"/>
    <w:rsid w:val="009A1197"/>
    <w:rsid w:val="009A3698"/>
    <w:rsid w:val="009A6C9B"/>
    <w:rsid w:val="009B7020"/>
    <w:rsid w:val="009C3E44"/>
    <w:rsid w:val="009D0C99"/>
    <w:rsid w:val="009E09BD"/>
    <w:rsid w:val="009E361A"/>
    <w:rsid w:val="009E420F"/>
    <w:rsid w:val="009E4809"/>
    <w:rsid w:val="009F1438"/>
    <w:rsid w:val="009F1EC0"/>
    <w:rsid w:val="009F3428"/>
    <w:rsid w:val="009F5C43"/>
    <w:rsid w:val="009F6A50"/>
    <w:rsid w:val="00A06636"/>
    <w:rsid w:val="00A10D7C"/>
    <w:rsid w:val="00A12EF3"/>
    <w:rsid w:val="00A12F18"/>
    <w:rsid w:val="00A14BD1"/>
    <w:rsid w:val="00A179E9"/>
    <w:rsid w:val="00A21A6E"/>
    <w:rsid w:val="00A304FE"/>
    <w:rsid w:val="00A3286C"/>
    <w:rsid w:val="00A32A7F"/>
    <w:rsid w:val="00A44AA8"/>
    <w:rsid w:val="00A458D2"/>
    <w:rsid w:val="00A47C37"/>
    <w:rsid w:val="00A60BE2"/>
    <w:rsid w:val="00A7374F"/>
    <w:rsid w:val="00A75158"/>
    <w:rsid w:val="00A77904"/>
    <w:rsid w:val="00A833F5"/>
    <w:rsid w:val="00A84C64"/>
    <w:rsid w:val="00A85982"/>
    <w:rsid w:val="00A90185"/>
    <w:rsid w:val="00A94807"/>
    <w:rsid w:val="00A97039"/>
    <w:rsid w:val="00AB33A6"/>
    <w:rsid w:val="00AB38BA"/>
    <w:rsid w:val="00AB49FB"/>
    <w:rsid w:val="00AB54DE"/>
    <w:rsid w:val="00AC2E8D"/>
    <w:rsid w:val="00AC3900"/>
    <w:rsid w:val="00AC5489"/>
    <w:rsid w:val="00AD1549"/>
    <w:rsid w:val="00AD2043"/>
    <w:rsid w:val="00AD25AE"/>
    <w:rsid w:val="00AD2C8F"/>
    <w:rsid w:val="00AD2D88"/>
    <w:rsid w:val="00AD6B9E"/>
    <w:rsid w:val="00AE5B44"/>
    <w:rsid w:val="00AF74B6"/>
    <w:rsid w:val="00B07588"/>
    <w:rsid w:val="00B1018F"/>
    <w:rsid w:val="00B10252"/>
    <w:rsid w:val="00B129C1"/>
    <w:rsid w:val="00B21657"/>
    <w:rsid w:val="00B21A43"/>
    <w:rsid w:val="00B27B1C"/>
    <w:rsid w:val="00B30085"/>
    <w:rsid w:val="00B31140"/>
    <w:rsid w:val="00B41AA4"/>
    <w:rsid w:val="00B41B79"/>
    <w:rsid w:val="00B43DD4"/>
    <w:rsid w:val="00B46107"/>
    <w:rsid w:val="00B53AB2"/>
    <w:rsid w:val="00B64D58"/>
    <w:rsid w:val="00B7017B"/>
    <w:rsid w:val="00B72099"/>
    <w:rsid w:val="00B8401B"/>
    <w:rsid w:val="00B9436A"/>
    <w:rsid w:val="00B95536"/>
    <w:rsid w:val="00BA0466"/>
    <w:rsid w:val="00BB122D"/>
    <w:rsid w:val="00BB1469"/>
    <w:rsid w:val="00BB68C5"/>
    <w:rsid w:val="00BC019F"/>
    <w:rsid w:val="00BC19BB"/>
    <w:rsid w:val="00BC7FB5"/>
    <w:rsid w:val="00BD0F98"/>
    <w:rsid w:val="00BD36D6"/>
    <w:rsid w:val="00BD4E09"/>
    <w:rsid w:val="00BE5E73"/>
    <w:rsid w:val="00BF2A5B"/>
    <w:rsid w:val="00BF332D"/>
    <w:rsid w:val="00C40692"/>
    <w:rsid w:val="00C468D9"/>
    <w:rsid w:val="00C512CC"/>
    <w:rsid w:val="00C514FC"/>
    <w:rsid w:val="00C51BDE"/>
    <w:rsid w:val="00C56776"/>
    <w:rsid w:val="00C567FD"/>
    <w:rsid w:val="00C61FD1"/>
    <w:rsid w:val="00C77617"/>
    <w:rsid w:val="00C82589"/>
    <w:rsid w:val="00C82675"/>
    <w:rsid w:val="00C8663B"/>
    <w:rsid w:val="00C912F2"/>
    <w:rsid w:val="00C920B0"/>
    <w:rsid w:val="00C94A26"/>
    <w:rsid w:val="00CA3BC9"/>
    <w:rsid w:val="00CB4584"/>
    <w:rsid w:val="00CC3272"/>
    <w:rsid w:val="00CE4F16"/>
    <w:rsid w:val="00CF0ED6"/>
    <w:rsid w:val="00CF0FAA"/>
    <w:rsid w:val="00CF7025"/>
    <w:rsid w:val="00D06D5B"/>
    <w:rsid w:val="00D073BE"/>
    <w:rsid w:val="00D2246B"/>
    <w:rsid w:val="00D26F42"/>
    <w:rsid w:val="00D31092"/>
    <w:rsid w:val="00D43518"/>
    <w:rsid w:val="00D80D46"/>
    <w:rsid w:val="00D8128B"/>
    <w:rsid w:val="00D8645D"/>
    <w:rsid w:val="00DD2D8D"/>
    <w:rsid w:val="00DD3566"/>
    <w:rsid w:val="00DF4ABD"/>
    <w:rsid w:val="00DF6230"/>
    <w:rsid w:val="00DF68EE"/>
    <w:rsid w:val="00E1385E"/>
    <w:rsid w:val="00E21C54"/>
    <w:rsid w:val="00E3504D"/>
    <w:rsid w:val="00E35428"/>
    <w:rsid w:val="00E465FB"/>
    <w:rsid w:val="00E53A8A"/>
    <w:rsid w:val="00E548FE"/>
    <w:rsid w:val="00E56504"/>
    <w:rsid w:val="00E57D64"/>
    <w:rsid w:val="00E63553"/>
    <w:rsid w:val="00E726EA"/>
    <w:rsid w:val="00E905AB"/>
    <w:rsid w:val="00E9130B"/>
    <w:rsid w:val="00E93A1D"/>
    <w:rsid w:val="00E94BD9"/>
    <w:rsid w:val="00E96897"/>
    <w:rsid w:val="00EA62B5"/>
    <w:rsid w:val="00EB1FBA"/>
    <w:rsid w:val="00EB47D8"/>
    <w:rsid w:val="00EC75D7"/>
    <w:rsid w:val="00ED0984"/>
    <w:rsid w:val="00ED0F33"/>
    <w:rsid w:val="00ED4B7C"/>
    <w:rsid w:val="00EE115E"/>
    <w:rsid w:val="00EE4D95"/>
    <w:rsid w:val="00EE5213"/>
    <w:rsid w:val="00EF0190"/>
    <w:rsid w:val="00EF5E8B"/>
    <w:rsid w:val="00F13491"/>
    <w:rsid w:val="00F14A6D"/>
    <w:rsid w:val="00F15674"/>
    <w:rsid w:val="00F23D01"/>
    <w:rsid w:val="00F243ED"/>
    <w:rsid w:val="00F3375D"/>
    <w:rsid w:val="00F3451E"/>
    <w:rsid w:val="00F376AD"/>
    <w:rsid w:val="00F47CAB"/>
    <w:rsid w:val="00F65DAF"/>
    <w:rsid w:val="00F75F58"/>
    <w:rsid w:val="00F76E2B"/>
    <w:rsid w:val="00F85709"/>
    <w:rsid w:val="00F86144"/>
    <w:rsid w:val="00F9583E"/>
    <w:rsid w:val="00FA0A4F"/>
    <w:rsid w:val="00FA0AAA"/>
    <w:rsid w:val="00FA2B82"/>
    <w:rsid w:val="00FB5C3E"/>
    <w:rsid w:val="00FC023C"/>
    <w:rsid w:val="00FC0FD8"/>
    <w:rsid w:val="00FD0CD9"/>
    <w:rsid w:val="00FE4D59"/>
    <w:rsid w:val="00FF5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,"/>
  <w14:docId w14:val="69443AF8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80F0E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68E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262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626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626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62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626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626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26F"/>
    <w:rPr>
      <w:rFonts w:ascii="Times New Roman" w:hAnsi="Times New Roman" w:cs="Times New Roman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9D0C99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4701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4701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4701A"/>
    <w:rPr>
      <w:vertAlign w:val="superscript"/>
    </w:rPr>
  </w:style>
  <w:style w:type="paragraph" w:styleId="Footer">
    <w:name w:val="footer"/>
    <w:basedOn w:val="Normal"/>
    <w:link w:val="FooterChar"/>
    <w:uiPriority w:val="99"/>
    <w:unhideWhenUsed/>
    <w:rsid w:val="009216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16E9"/>
  </w:style>
  <w:style w:type="character" w:styleId="PageNumber">
    <w:name w:val="page number"/>
    <w:basedOn w:val="DefaultParagraphFont"/>
    <w:uiPriority w:val="99"/>
    <w:semiHidden/>
    <w:unhideWhenUsed/>
    <w:rsid w:val="009216E9"/>
  </w:style>
  <w:style w:type="paragraph" w:styleId="Header">
    <w:name w:val="header"/>
    <w:basedOn w:val="Normal"/>
    <w:link w:val="HeaderChar"/>
    <w:uiPriority w:val="99"/>
    <w:unhideWhenUsed/>
    <w:rsid w:val="009216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16E9"/>
  </w:style>
  <w:style w:type="character" w:styleId="Hyperlink">
    <w:name w:val="Hyperlink"/>
    <w:basedOn w:val="DefaultParagraphFont"/>
    <w:uiPriority w:val="99"/>
    <w:unhideWhenUsed/>
    <w:rsid w:val="00336B20"/>
    <w:rPr>
      <w:color w:val="0000FF"/>
      <w:u w:val="single"/>
    </w:rPr>
  </w:style>
  <w:style w:type="character" w:customStyle="1" w:styleId="article-headerpages">
    <w:name w:val="article-header__pages"/>
    <w:basedOn w:val="DefaultParagraphFont"/>
    <w:rsid w:val="00336B20"/>
  </w:style>
  <w:style w:type="character" w:customStyle="1" w:styleId="article-headerdate">
    <w:name w:val="article-header__date"/>
    <w:basedOn w:val="DefaultParagraphFont"/>
    <w:rsid w:val="00336B20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80F0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480F0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697FA0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F3451E"/>
  </w:style>
  <w:style w:type="paragraph" w:customStyle="1" w:styleId="Default">
    <w:name w:val="Default"/>
    <w:rsid w:val="00830E64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</w:rPr>
  </w:style>
  <w:style w:type="table" w:styleId="TableGrid">
    <w:name w:val="Table Grid"/>
    <w:basedOn w:val="TableNormal"/>
    <w:uiPriority w:val="59"/>
    <w:rsid w:val="00F65D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9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78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52532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63790">
              <w:marLeft w:val="-240"/>
              <w:marRight w:val="-24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76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81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102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35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90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98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107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815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55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tif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worldbank.org/en/country/centralafricanrepublic/overview" TargetMode="External"/><Relationship Id="rId2" Type="http://schemas.openxmlformats.org/officeDocument/2006/relationships/hyperlink" Target="http://hdr.undp.org/en/content/2019-human-development-index-ranking" TargetMode="External"/><Relationship Id="rId1" Type="http://schemas.openxmlformats.org/officeDocument/2006/relationships/hyperlink" Target="https://www.unocha.org/car" TargetMode="External"/><Relationship Id="rId6" Type="http://schemas.openxmlformats.org/officeDocument/2006/relationships/hyperlink" Target="https://www.worldometers.info/coronavirus/country/central-african-republic/" TargetMode="External"/><Relationship Id="rId5" Type="http://schemas.openxmlformats.org/officeDocument/2006/relationships/hyperlink" Target="https://breakthroughactionandresearch.org/resources/itn-use-and-access-report/car/" TargetMode="External"/><Relationship Id="rId4" Type="http://schemas.openxmlformats.org/officeDocument/2006/relationships/hyperlink" Target="https://www.afro.who.int/news/central-african-republic-prepares-ebola-response?country=906&amp;name=Central%20African%20Republic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420ADA24716249B0D550DEADE766C3" ma:contentTypeVersion="12" ma:contentTypeDescription="Create a new document." ma:contentTypeScope="" ma:versionID="3937c8b9ac2c6c88873d7f8151e42e3e">
  <xsd:schema xmlns:xsd="http://www.w3.org/2001/XMLSchema" xmlns:xs="http://www.w3.org/2001/XMLSchema" xmlns:p="http://schemas.microsoft.com/office/2006/metadata/properties" xmlns:ns1="http://schemas.microsoft.com/sharepoint/v3" xmlns:ns2="f6a5ad32-f79b-48cf-929b-9ffd4aa5ee82" targetNamespace="http://schemas.microsoft.com/office/2006/metadata/properties" ma:root="true" ma:fieldsID="6f0805d49e744d0376f68ddd6a668681" ns1:_="" ns2:_="">
    <xsd:import namespace="http://schemas.microsoft.com/sharepoint/v3"/>
    <xsd:import namespace="f6a5ad32-f79b-48cf-929b-9ffd4aa5ee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a5ad32-f79b-48cf-929b-9ffd4aa5ee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960885B-9E44-4430-8B2F-041C0FB7D2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148DDF-44CF-49C4-B59A-40D65026C66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4A682F6-87D6-44DD-A477-5973D600F3BF}"/>
</file>

<file path=customXml/itemProps4.xml><?xml version="1.0" encoding="utf-8"?>
<ds:datastoreItem xmlns:ds="http://schemas.openxmlformats.org/officeDocument/2006/customXml" ds:itemID="{DB16CE96-6B64-4E74-8112-A515CB0252AD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6be9d52c-0e59-4906-b725-6ee576ebff1d"/>
    <ds:schemaRef ds:uri="http://purl.org/dc/terms/"/>
    <ds:schemaRef ds:uri="http://schemas.openxmlformats.org/package/2006/metadata/core-properties"/>
    <ds:schemaRef ds:uri="26988bcc-216d-4c68-a0cd-417358c81203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2568</Words>
  <Characters>14643</Characters>
  <Application>Microsoft Office Word</Application>
  <DocSecurity>4</DocSecurity>
  <Lines>122</Lines>
  <Paragraphs>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2021-07-30T13:14:00Z</dcterms:created>
  <dcterms:modified xsi:type="dcterms:W3CDTF">2021-07-30T13:14:00Z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Text">
    <vt:lpwstr>Internal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ontentTypeId">
    <vt:lpwstr>0x010100D5420ADA24716249B0D550DEADE766C3</vt:lpwstr>
  </property>
  <property fmtid="{D5CDD505-2E9C-101B-9397-08002B2CF9AE}" pid="5" name="ClassificationContentMarkingFooterShapeIds">
    <vt:lpwstr>7,9,b</vt:lpwstr>
  </property>
  <property fmtid="{D5CDD505-2E9C-101B-9397-08002B2CF9AE}" pid="6" name="MSIP_Label_6627b15a-80ec-4ef7-8353-f32e3c89bf3e_Enabled">
    <vt:lpwstr>true</vt:lpwstr>
  </property>
  <property fmtid="{D5CDD505-2E9C-101B-9397-08002B2CF9AE}" pid="7" name="MSIP_Label_6627b15a-80ec-4ef7-8353-f32e3c89bf3e_SetDate">
    <vt:lpwstr>2021-07-30T13:14:46Z</vt:lpwstr>
  </property>
  <property fmtid="{D5CDD505-2E9C-101B-9397-08002B2CF9AE}" pid="8" name="MSIP_Label_6627b15a-80ec-4ef7-8353-f32e3c89bf3e_Method">
    <vt:lpwstr>Privileged</vt:lpwstr>
  </property>
  <property fmtid="{D5CDD505-2E9C-101B-9397-08002B2CF9AE}" pid="9" name="MSIP_Label_6627b15a-80ec-4ef7-8353-f32e3c89bf3e_Name">
    <vt:lpwstr>IFRC Internal</vt:lpwstr>
  </property>
  <property fmtid="{D5CDD505-2E9C-101B-9397-08002B2CF9AE}" pid="10" name="MSIP_Label_6627b15a-80ec-4ef7-8353-f32e3c89bf3e_SiteId">
    <vt:lpwstr>a2b53be5-734e-4e6c-ab0d-d184f60fd917</vt:lpwstr>
  </property>
  <property fmtid="{D5CDD505-2E9C-101B-9397-08002B2CF9AE}" pid="11" name="MSIP_Label_6627b15a-80ec-4ef7-8353-f32e3c89bf3e_ActionId">
    <vt:lpwstr>f2100f00-cb08-4f60-b17b-135299ed932b</vt:lpwstr>
  </property>
  <property fmtid="{D5CDD505-2E9C-101B-9397-08002B2CF9AE}" pid="12" name="MSIP_Label_6627b15a-80ec-4ef7-8353-f32e3c89bf3e_ContentBits">
    <vt:lpwstr>2</vt:lpwstr>
  </property>
</Properties>
</file>