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DABC" w14:textId="77777777" w:rsidR="0025164D" w:rsidRDefault="0025164D" w:rsidP="0025164D">
      <w:pPr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465C8807" w14:textId="7D3B3EDF" w:rsidR="0025164D" w:rsidRPr="00387941" w:rsidRDefault="0025164D" w:rsidP="0025164D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val="pt-PT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pt"/>
        </w:rPr>
        <w:t>Riscos e possíveis medidas de mitigação para a digitalização da distribuição em massa de MTI</w:t>
      </w:r>
    </w:p>
    <w:p w14:paraId="66DB4D8E" w14:textId="77777777" w:rsidR="0025164D" w:rsidRPr="00387941" w:rsidRDefault="0025164D" w:rsidP="0025164D">
      <w:pPr>
        <w:rPr>
          <w:lang w:val="pt-PT"/>
        </w:rPr>
      </w:pPr>
    </w:p>
    <w:p w14:paraId="063B38B3" w14:textId="77777777" w:rsidR="0025164D" w:rsidRPr="0025164D" w:rsidRDefault="0025164D" w:rsidP="0025164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pt"/>
        </w:rPr>
        <w:t xml:space="preserve">Segue-se uma lista de potenciais riscos associados à digitalização das atividades da campanha de distribuição em massa de MTI, bem como possíveis medidas de mitigação que os programas nacionais de combate à malária devem ter em consideração. Note-se que tanto os riscos como as medidas de mitigação não são exaustivos. Os programas nacionais de combate à malária devem trabalhar com o seu subcomité de digitalização e com a equipa de TIC para identificar outros potenciais riscos que possam ser específicos do seu contexto operacional. A avaliação dos riscos e as medidas de mitigação para a digitalização devem ser incluídas no plano geral de avaliação e mitigação dos riscos da campanha e, assim como para os outros riscos identificados, o estado de cada um deve ser atualizado de forma regular (no mínimo mensalmente). O planeamento para o projeto-piloto ou a implementação de uma plataforma digital deve incluir um plano completo de risco e de mitigação (mapa de calor, proprietário do risco, etc.) desenvolvido pelo subcomité de digitalização. Consultar o toolkit da AMP, Capítulo 5, Sumário 3: </w:t>
      </w:r>
      <w:r>
        <w:rPr>
          <w:rFonts w:ascii="Calibri" w:eastAsia="Times New Roman" w:hAnsi="Calibri" w:cs="Calibri"/>
          <w:i/>
          <w:iCs/>
          <w:color w:val="000000"/>
          <w:lang w:val="pt"/>
        </w:rPr>
        <w:t>Planeamento de mitigação de riscos</w:t>
      </w:r>
      <w:r>
        <w:rPr>
          <w:rFonts w:ascii="Calibri" w:eastAsia="Times New Roman" w:hAnsi="Calibri" w:cs="Calibri"/>
          <w:color w:val="000000"/>
          <w:lang w:val="pt"/>
        </w:rPr>
        <w:t xml:space="preserve">. </w:t>
      </w:r>
      <w:hyperlink r:id="rId6" w:history="1">
        <w:r w:rsidRPr="00387941">
          <w:rPr>
            <w:rStyle w:val="Hyperlink"/>
            <w:rFonts w:ascii="Calibri" w:eastAsia="Times New Roman" w:hAnsi="Calibri" w:cs="Calibri"/>
          </w:rPr>
          <w:t>https://allianceformalariaprevention.com/wp-content/uploads/2021/03/AMP-Toolkit-report-2015_Chapter5_EN_LR-1.pdf</w:t>
        </w:r>
      </w:hyperlink>
      <w:r w:rsidRPr="00387941">
        <w:rPr>
          <w:rFonts w:ascii="Calibri" w:eastAsia="Times New Roman" w:hAnsi="Calibri" w:cs="Calibri"/>
          <w:color w:val="000000"/>
        </w:rPr>
        <w:t xml:space="preserve">  </w:t>
      </w:r>
    </w:p>
    <w:p w14:paraId="4AA9D150" w14:textId="2F499167" w:rsidR="002C1BC6" w:rsidRDefault="002C1BC6"/>
    <w:p w14:paraId="345BE7B9" w14:textId="44D56CBD" w:rsidR="0025164D" w:rsidRDefault="0025164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4"/>
        <w:gridCol w:w="5880"/>
        <w:gridCol w:w="6014"/>
      </w:tblGrid>
      <w:tr w:rsidR="0025164D" w:rsidRPr="00387941" w14:paraId="437416BA" w14:textId="77777777" w:rsidTr="00387941">
        <w:trPr>
          <w:tblHeader/>
        </w:trPr>
        <w:tc>
          <w:tcPr>
            <w:tcW w:w="0" w:type="auto"/>
            <w:shd w:val="clear" w:color="auto" w:fill="B4C6E7" w:themeFill="accent1" w:themeFillTint="66"/>
            <w:hideMark/>
          </w:tcPr>
          <w:p w14:paraId="44EDD38D" w14:textId="77777777" w:rsidR="0025164D" w:rsidRPr="00B2744D" w:rsidRDefault="0025164D" w:rsidP="00227EF9">
            <w:pPr>
              <w:jc w:val="center"/>
              <w:rPr>
                <w:rFonts w:eastAsia="Times New Roman" w:cstheme="minorHAnsi"/>
                <w:b/>
                <w:bCs/>
                <w:color w:val="333333"/>
              </w:rPr>
            </w:pPr>
            <w:r>
              <w:rPr>
                <w:rFonts w:eastAsia="Times New Roman" w:cstheme="minorHAnsi"/>
                <w:b/>
                <w:bCs/>
                <w:color w:val="333333"/>
                <w:lang w:val="pt"/>
              </w:rPr>
              <w:t>Área de campanha</w:t>
            </w:r>
          </w:p>
        </w:tc>
        <w:tc>
          <w:tcPr>
            <w:tcW w:w="2108" w:type="pct"/>
            <w:tcBorders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72D9B2FE" w14:textId="77777777" w:rsidR="0025164D" w:rsidRPr="00B2744D" w:rsidRDefault="0025164D" w:rsidP="00227EF9">
            <w:pPr>
              <w:jc w:val="center"/>
              <w:rPr>
                <w:rFonts w:eastAsia="Times New Roman" w:cstheme="minorHAnsi"/>
                <w:b/>
                <w:bCs/>
                <w:color w:val="333333"/>
              </w:rPr>
            </w:pPr>
            <w:r>
              <w:rPr>
                <w:rFonts w:eastAsia="Times New Roman" w:cstheme="minorHAnsi"/>
                <w:b/>
                <w:bCs/>
                <w:color w:val="333333"/>
                <w:lang w:val="pt"/>
              </w:rPr>
              <w:t>Exemplos de riscos</w:t>
            </w:r>
          </w:p>
        </w:tc>
        <w:tc>
          <w:tcPr>
            <w:tcW w:w="2156" w:type="pct"/>
            <w:shd w:val="clear" w:color="auto" w:fill="B4C6E7" w:themeFill="accent1" w:themeFillTint="66"/>
            <w:hideMark/>
          </w:tcPr>
          <w:p w14:paraId="24B4B442" w14:textId="77777777" w:rsidR="0025164D" w:rsidRPr="00387941" w:rsidRDefault="0025164D" w:rsidP="00227EF9">
            <w:pPr>
              <w:jc w:val="center"/>
              <w:rPr>
                <w:rFonts w:eastAsia="Times New Roman" w:cstheme="minorHAnsi"/>
                <w:b/>
                <w:bCs/>
                <w:color w:val="333333"/>
                <w:lang w:val="pt-PT"/>
              </w:rPr>
            </w:pPr>
            <w:r>
              <w:rPr>
                <w:rFonts w:eastAsia="Times New Roman" w:cstheme="minorHAnsi"/>
                <w:b/>
                <w:bCs/>
                <w:color w:val="333333"/>
                <w:lang w:val="pt"/>
              </w:rPr>
              <w:t>Exemplos de medidas de mitigação</w:t>
            </w:r>
          </w:p>
        </w:tc>
      </w:tr>
      <w:tr w:rsidR="0025164D" w:rsidRPr="00387941" w14:paraId="51627EB7" w14:textId="77777777" w:rsidTr="00387941"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FFFFFF"/>
            <w:hideMark/>
          </w:tcPr>
          <w:p w14:paraId="5798B3BD" w14:textId="77777777" w:rsidR="0025164D" w:rsidRPr="00B2744D" w:rsidRDefault="0025164D" w:rsidP="00227EF9">
            <w:pPr>
              <w:jc w:val="center"/>
              <w:rPr>
                <w:rFonts w:eastAsia="Times New Roman" w:cstheme="minorHAnsi"/>
                <w:b/>
                <w:bCs/>
                <w:color w:val="333333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val="pt"/>
              </w:rPr>
              <w:t>Macroplaneamento</w:t>
            </w:r>
          </w:p>
        </w:tc>
        <w:tc>
          <w:tcPr>
            <w:tcW w:w="210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18342F28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Não é desenvolvida atempadamente uma estratégia e um plano de ação para a digitalização, o que leva a atrasos na tomada de decisões sobre as necessidades de digitalização da campanha e, subsequentemente, a atrasos na implementação global da campanha.</w:t>
            </w:r>
          </w:p>
        </w:tc>
        <w:tc>
          <w:tcPr>
            <w:tcW w:w="2156" w:type="pct"/>
            <w:shd w:val="clear" w:color="auto" w:fill="FFFFFF"/>
            <w:hideMark/>
          </w:tcPr>
          <w:p w14:paraId="2501CEAD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Assegurar que um subcomité de digitalização e/ou os peritos técnicos de TIC4D são recrutados pelo menos dez a doze meses antes da implementação da campanha e que os seus termos de referência (ToR) incluem a criação de um plano de ação para a digitalização (PAD) detalhado, incluindo o prazo e o orçamento.</w:t>
            </w:r>
          </w:p>
        </w:tc>
      </w:tr>
      <w:tr w:rsidR="0025164D" w:rsidRPr="00387941" w14:paraId="519086C9" w14:textId="77777777" w:rsidTr="00387941"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1F1F1"/>
            <w:vAlign w:val="center"/>
            <w:hideMark/>
          </w:tcPr>
          <w:p w14:paraId="4AA41157" w14:textId="77777777" w:rsidR="0025164D" w:rsidRPr="00387941" w:rsidRDefault="0025164D" w:rsidP="00227EF9">
            <w:pPr>
              <w:rPr>
                <w:rFonts w:eastAsia="Times New Roman" w:cstheme="minorHAnsi"/>
                <w:b/>
                <w:bCs/>
                <w:color w:val="333333"/>
                <w:lang w:val="pt-PT"/>
              </w:rPr>
            </w:pPr>
          </w:p>
        </w:tc>
        <w:tc>
          <w:tcPr>
            <w:tcW w:w="2108" w:type="pct"/>
            <w:tcBorders>
              <w:left w:val="single" w:sz="4" w:space="0" w:color="auto"/>
            </w:tcBorders>
            <w:shd w:val="clear" w:color="auto" w:fill="F1F1F1"/>
            <w:hideMark/>
          </w:tcPr>
          <w:p w14:paraId="133A0ECD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A insegurança no terreno ou em ambientes operacionais desafiantes (CoE) pode levar ao roubo de dispositivos GPS, bem como colocar a vida do pessoal em perigo, uma vez que os dispositivos podem ser bens muito procurados.</w:t>
            </w:r>
          </w:p>
        </w:tc>
        <w:tc>
          <w:tcPr>
            <w:tcW w:w="2156" w:type="pct"/>
            <w:shd w:val="clear" w:color="auto" w:fill="F1F1F1"/>
            <w:hideMark/>
          </w:tcPr>
          <w:p w14:paraId="355679EF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Assegurar que as áreas com um elevado nível de insegurança foram identificadas durante o macroplaneamento. Uma vez identificadas, determinar as abordagens que podem ser consideradas, incluindo (1) decidir manter a recolha de dados em papel em áreas de alto risco, (2) planear reuniões de sensibilização com agências de segurança/líderes locais, etc. para discutir opções para garantir a segurança do pessoal e dos dispositivos, ou (3) planear outras opções com base no contexto. Basear os planos, a quantificação e o orçamento para a digitalização nas decisões tomadas em matéria de insegurança.</w:t>
            </w:r>
            <w:r>
              <w:rPr>
                <w:rFonts w:eastAsia="Times New Roman" w:cstheme="minorHAnsi"/>
                <w:color w:val="333333"/>
                <w:lang w:val="pt"/>
              </w:rPr>
              <w:br/>
            </w:r>
            <w:r>
              <w:rPr>
                <w:rFonts w:eastAsia="Times New Roman" w:cstheme="minorHAnsi"/>
                <w:color w:val="333333"/>
                <w:lang w:val="pt"/>
              </w:rPr>
              <w:lastRenderedPageBreak/>
              <w:br/>
              <w:t>Planear um software de Gestão de Dispositivos Móveis (MDM) que possa bloquear, eliminar e localizar e aceder remotamente a dispositivos. Se não estiver planeado um orçamento para o software MDM, considerar a possibilidade de utilizar dispositivos de «propriedade comunitária» sempre que possível, para evitar a perda de dispositivos.</w:t>
            </w:r>
          </w:p>
        </w:tc>
      </w:tr>
      <w:tr w:rsidR="0025164D" w:rsidRPr="00387941" w14:paraId="094CBFFC" w14:textId="77777777" w:rsidTr="00387941">
        <w:tc>
          <w:tcPr>
            <w:tcW w:w="0" w:type="auto"/>
            <w:vMerge w:val="restart"/>
            <w:shd w:val="clear" w:color="auto" w:fill="FFFFFF"/>
            <w:hideMark/>
          </w:tcPr>
          <w:p w14:paraId="308FB95E" w14:textId="77777777" w:rsidR="0025164D" w:rsidRPr="00B2744D" w:rsidRDefault="0025164D" w:rsidP="00227EF9">
            <w:pPr>
              <w:jc w:val="center"/>
              <w:rPr>
                <w:rFonts w:eastAsia="Times New Roman" w:cstheme="minorHAnsi"/>
                <w:b/>
                <w:bCs/>
                <w:color w:val="333333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val="pt"/>
              </w:rPr>
              <w:lastRenderedPageBreak/>
              <w:t>Microplaneamento</w:t>
            </w:r>
          </w:p>
        </w:tc>
        <w:tc>
          <w:tcPr>
            <w:tcW w:w="2108" w:type="pct"/>
            <w:shd w:val="clear" w:color="auto" w:fill="FFFFFF"/>
            <w:hideMark/>
          </w:tcPr>
          <w:p w14:paraId="14C717A7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São solicitadas ou recolhidas informações inadequadas ou insuficientemente pormenorizadas antes dos workshops de microplaneamento relativos à digitalização, o que dá origem a planos e orçamentos incompletos que podem afetar negativamente a qualidade da execução.</w:t>
            </w:r>
          </w:p>
        </w:tc>
        <w:tc>
          <w:tcPr>
            <w:tcW w:w="2156" w:type="pct"/>
            <w:shd w:val="clear" w:color="auto" w:fill="FFFFFF"/>
            <w:hideMark/>
          </w:tcPr>
          <w:p w14:paraId="34E3269A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Assegurar que o subcomité de digitalização e/ou os peritos técnicos de TIC4D criam a lista de informações a recolher para a digitalização antes dos workshops de microplaneamento. Na medida do possível, solicitar que as informações sejam enviadas dos distritos para o nível nacional antes dos workshops, a fim de fornecer feedback, conforme necessário, para melhorar a qualidade das informações.</w:t>
            </w:r>
          </w:p>
        </w:tc>
      </w:tr>
      <w:tr w:rsidR="0025164D" w:rsidRPr="00387941" w14:paraId="40569976" w14:textId="77777777" w:rsidTr="00387941">
        <w:tc>
          <w:tcPr>
            <w:tcW w:w="0" w:type="auto"/>
            <w:vMerge/>
            <w:shd w:val="clear" w:color="auto" w:fill="F1F1F1"/>
            <w:vAlign w:val="center"/>
            <w:hideMark/>
          </w:tcPr>
          <w:p w14:paraId="606DD873" w14:textId="77777777" w:rsidR="0025164D" w:rsidRPr="00387941" w:rsidRDefault="0025164D" w:rsidP="00227EF9">
            <w:pPr>
              <w:rPr>
                <w:rFonts w:eastAsia="Times New Roman" w:cstheme="minorHAnsi"/>
                <w:b/>
                <w:bCs/>
                <w:color w:val="333333"/>
                <w:lang w:val="pt-PT"/>
              </w:rPr>
            </w:pPr>
          </w:p>
        </w:tc>
        <w:tc>
          <w:tcPr>
            <w:tcW w:w="2108" w:type="pct"/>
            <w:shd w:val="clear" w:color="auto" w:fill="F1F1F1"/>
            <w:hideMark/>
          </w:tcPr>
          <w:p w14:paraId="71158C91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Os perfis das pessoas selecionadas para o microplaneamento, quer como facilitadores quer como participantes, levam a um detalhe e qualidade insuficientes nos microplanos de digitalização, afetando negativamente a execução das atividades de campanha.</w:t>
            </w:r>
          </w:p>
        </w:tc>
        <w:tc>
          <w:tcPr>
            <w:tcW w:w="2156" w:type="pct"/>
            <w:shd w:val="clear" w:color="auto" w:fill="F1F1F1"/>
            <w:hideMark/>
          </w:tcPr>
          <w:p w14:paraId="62BE79E1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Assegurar que o planeamento e a orçamentação do microplaneamento incluem na íntegra o aspeto da digitalização. Aumentar o número de facilitadores e participantes para garantir uma ação suficientemente centrada na digitalização: um microplaneamento detalhado é um passo importante para atenuar outros desafios de implementação. Assegurar que os facilitadores e participantes identificados para a componente de digitalização compreendem a tecnologia e a plataforma que serão utilizadas para as diferentes componentes de campanha (por exemplo, microplaneamento, registo dos agregados familiares, distribuição de MTI, pagamentos, etc.).</w:t>
            </w:r>
          </w:p>
        </w:tc>
      </w:tr>
      <w:tr w:rsidR="0025164D" w:rsidRPr="00387941" w14:paraId="79F1BA82" w14:textId="77777777" w:rsidTr="00387941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54A0CD9" w14:textId="77777777" w:rsidR="0025164D" w:rsidRPr="00387941" w:rsidRDefault="0025164D" w:rsidP="00227EF9">
            <w:pPr>
              <w:rPr>
                <w:rFonts w:eastAsia="Times New Roman" w:cstheme="minorHAnsi"/>
                <w:b/>
                <w:bCs/>
                <w:color w:val="333333"/>
                <w:lang w:val="pt-PT"/>
              </w:rPr>
            </w:pPr>
          </w:p>
        </w:tc>
        <w:tc>
          <w:tcPr>
            <w:tcW w:w="2108" w:type="pct"/>
            <w:shd w:val="clear" w:color="auto" w:fill="FFFFFF"/>
            <w:hideMark/>
          </w:tcPr>
          <w:p w14:paraId="14DBB787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O processo de microplaneamento é planeado demasiado tarde no processo da campanha ou é adiado, o que leva a uma lacuna na informação crítica necessária para finalizar a quantificação e a aquisição antes da implementação.</w:t>
            </w:r>
          </w:p>
        </w:tc>
        <w:tc>
          <w:tcPr>
            <w:tcW w:w="2156" w:type="pct"/>
            <w:shd w:val="clear" w:color="auto" w:fill="FFFFFF"/>
            <w:hideMark/>
          </w:tcPr>
          <w:p w14:paraId="4C1C6F96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 xml:space="preserve">Planear métodos alternativos para a recolha de informações críticas de microplaneamento (como a disponibilidade da rede) se o processo de microplaneamento for planeado tardiamente ou puder ser atrasado. Tal pode incluir trabalhar com o MdS ou o pessoal parceiro de execução (no terreno) para recolher a informação necessária através de ferramentas de recolha de </w:t>
            </w:r>
            <w:r>
              <w:rPr>
                <w:rFonts w:eastAsia="Times New Roman" w:cstheme="minorHAnsi"/>
                <w:color w:val="333333"/>
                <w:lang w:val="pt"/>
              </w:rPr>
              <w:lastRenderedPageBreak/>
              <w:t>dados de fácil utilização e garantir que a informação é enviada para o nível central o mais cedo possível para finalizar a quantificação e a aquisição, bem como a orçamentação.</w:t>
            </w:r>
          </w:p>
        </w:tc>
      </w:tr>
      <w:tr w:rsidR="0025164D" w:rsidRPr="00387941" w14:paraId="73755055" w14:textId="77777777" w:rsidTr="00387941">
        <w:tc>
          <w:tcPr>
            <w:tcW w:w="0" w:type="auto"/>
            <w:vMerge/>
            <w:shd w:val="clear" w:color="auto" w:fill="F1F1F1"/>
            <w:vAlign w:val="center"/>
            <w:hideMark/>
          </w:tcPr>
          <w:p w14:paraId="498D1871" w14:textId="77777777" w:rsidR="0025164D" w:rsidRPr="00387941" w:rsidRDefault="0025164D" w:rsidP="00227EF9">
            <w:pPr>
              <w:rPr>
                <w:rFonts w:eastAsia="Times New Roman" w:cstheme="minorHAnsi"/>
                <w:b/>
                <w:bCs/>
                <w:color w:val="333333"/>
                <w:lang w:val="pt-PT"/>
              </w:rPr>
            </w:pPr>
          </w:p>
        </w:tc>
        <w:tc>
          <w:tcPr>
            <w:tcW w:w="2108" w:type="pct"/>
            <w:shd w:val="clear" w:color="auto" w:fill="F1F1F1"/>
            <w:hideMark/>
          </w:tcPr>
          <w:p w14:paraId="44EF93C6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Falta de confiança na exatidão dos dados geoespaciais (estimativas da população, distância de viagem, áreas/habitações/povoações anteriormente desconhecidas, etc.) por parte das autoridades locais.</w:t>
            </w:r>
          </w:p>
        </w:tc>
        <w:tc>
          <w:tcPr>
            <w:tcW w:w="2156" w:type="pct"/>
            <w:shd w:val="clear" w:color="auto" w:fill="F1F1F1"/>
            <w:hideMark/>
          </w:tcPr>
          <w:p w14:paraId="3604DBE9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A agenda do workshop de microplaneamento deve incluir tempo para triangulação e validação de dados de outras fontes. Deve ser atribuído tempo suficiente para discutir exemplos específicos e criar confiança na utilização de dados geoespaciais como base para o planeamento.</w:t>
            </w:r>
          </w:p>
        </w:tc>
      </w:tr>
      <w:tr w:rsidR="0025164D" w:rsidRPr="00387941" w14:paraId="4ED3E54E" w14:textId="77777777" w:rsidTr="00387941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697D326" w14:textId="77777777" w:rsidR="0025164D" w:rsidRPr="00387941" w:rsidRDefault="0025164D" w:rsidP="00227EF9">
            <w:pPr>
              <w:rPr>
                <w:rFonts w:eastAsia="Times New Roman" w:cstheme="minorHAnsi"/>
                <w:b/>
                <w:bCs/>
                <w:color w:val="333333"/>
                <w:lang w:val="pt-PT"/>
              </w:rPr>
            </w:pPr>
          </w:p>
        </w:tc>
        <w:tc>
          <w:tcPr>
            <w:tcW w:w="2108" w:type="pct"/>
            <w:shd w:val="clear" w:color="auto" w:fill="FFFFFF"/>
            <w:hideMark/>
          </w:tcPr>
          <w:p w14:paraId="398C45D3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Desconhecimento da tecnologia do Sistema de Informação Geográfica (SIG) entre o pessoal de campanha.</w:t>
            </w:r>
          </w:p>
        </w:tc>
        <w:tc>
          <w:tcPr>
            <w:tcW w:w="2156" w:type="pct"/>
            <w:shd w:val="clear" w:color="auto" w:fill="FFFFFF"/>
            <w:hideMark/>
          </w:tcPr>
          <w:p w14:paraId="555F9494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Assegurar que a equipa de TIC4D inclui pessoal com forte perfil/experiência em SIG. Além disso, a formação em módulos geoespaciais para dotar as equipas de conhecimentos básicos e de familiaridade com mapas e com a utilização de dados do Sistema de Posicionamento Global (GPS) ajudará a reduzir o risco de erros (em todas as fases da campanha), que se devem ao desconhecimento do SIG. Assegurar que as agendas de microplaneamento para a formação de facilitadores e os próprios workshops são ajustadas para incluir tempo adicional para familiarizar os participantes com a utilização de dados SIG/GPS.</w:t>
            </w:r>
          </w:p>
        </w:tc>
      </w:tr>
      <w:tr w:rsidR="0025164D" w:rsidRPr="00387941" w14:paraId="5C8974CE" w14:textId="77777777" w:rsidTr="00387941">
        <w:tc>
          <w:tcPr>
            <w:tcW w:w="0" w:type="auto"/>
            <w:vMerge/>
            <w:shd w:val="clear" w:color="auto" w:fill="F1F1F1"/>
            <w:vAlign w:val="center"/>
            <w:hideMark/>
          </w:tcPr>
          <w:p w14:paraId="3210BE9F" w14:textId="77777777" w:rsidR="0025164D" w:rsidRPr="00387941" w:rsidRDefault="0025164D" w:rsidP="00227EF9">
            <w:pPr>
              <w:rPr>
                <w:rFonts w:eastAsia="Times New Roman" w:cstheme="minorHAnsi"/>
                <w:b/>
                <w:bCs/>
                <w:color w:val="333333"/>
                <w:lang w:val="pt-PT"/>
              </w:rPr>
            </w:pPr>
          </w:p>
        </w:tc>
        <w:tc>
          <w:tcPr>
            <w:tcW w:w="2108" w:type="pct"/>
            <w:shd w:val="clear" w:color="auto" w:fill="F1F1F1"/>
            <w:hideMark/>
          </w:tcPr>
          <w:p w14:paraId="476DB912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A conetividade limitada à Internet para descarregamento e/ou impressão pode significar que os mapas de alta resolução não estarão disponíveis para o processo de microplaneamento.</w:t>
            </w:r>
          </w:p>
        </w:tc>
        <w:tc>
          <w:tcPr>
            <w:tcW w:w="2156" w:type="pct"/>
            <w:shd w:val="clear" w:color="auto" w:fill="F1F1F1"/>
            <w:hideMark/>
          </w:tcPr>
          <w:p w14:paraId="5761C32D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Antes do processo de microplaneamento, avaliar a conetividade à Internet nas áreas onde se realizarão os workshops de microplaneamento. Atribuir um orçamento suficiente para a ligação à Internet durante a formação de facilitadores e os workshops de microplaneamento. Se a ligação à Internet for fraca e o descarregamento e impressão de mapas de alta resolução não for possível ao nível onde se realizarão os workshops de microplaneamento, considerar a possibilidade de imprimir mapas a nível nacional (quer no setor privado, quer nas Nações Unidas ou noutras organizações parceiras) a fim de maximizar a precisão do mapeamento do microplaneamento e beneficiar da potencial triangulação de dados sobre a população e a localização da população.</w:t>
            </w:r>
          </w:p>
        </w:tc>
      </w:tr>
      <w:tr w:rsidR="0025164D" w:rsidRPr="00387941" w14:paraId="67637D8F" w14:textId="77777777" w:rsidTr="00387941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052EC6A" w14:textId="77777777" w:rsidR="0025164D" w:rsidRPr="00387941" w:rsidRDefault="0025164D" w:rsidP="00227EF9">
            <w:pPr>
              <w:rPr>
                <w:rFonts w:eastAsia="Times New Roman" w:cstheme="minorHAnsi"/>
                <w:b/>
                <w:bCs/>
                <w:color w:val="333333"/>
                <w:lang w:val="pt-PT"/>
              </w:rPr>
            </w:pPr>
          </w:p>
        </w:tc>
        <w:tc>
          <w:tcPr>
            <w:tcW w:w="2108" w:type="pct"/>
            <w:shd w:val="clear" w:color="auto" w:fill="FFFFFF"/>
            <w:hideMark/>
          </w:tcPr>
          <w:p w14:paraId="28444F5D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Podem existir restrições à recolha de dados a nível local junto das instituições governamentais.</w:t>
            </w:r>
          </w:p>
        </w:tc>
        <w:tc>
          <w:tcPr>
            <w:tcW w:w="2156" w:type="pct"/>
            <w:shd w:val="clear" w:color="auto" w:fill="FFFFFF"/>
            <w:hideMark/>
          </w:tcPr>
          <w:p w14:paraId="5FA566BE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Cumprir a política de dados da administração local e limitar-se ao que está disponível para reduzir qualquer risco de responsabilidade. Dirigir correspondência à autoridade indicando a razão pela qual necessita dos dados e a forma como estes serão utilizados.</w:t>
            </w:r>
          </w:p>
        </w:tc>
      </w:tr>
      <w:tr w:rsidR="0025164D" w:rsidRPr="00387941" w14:paraId="31318486" w14:textId="77777777" w:rsidTr="00387941">
        <w:tc>
          <w:tcPr>
            <w:tcW w:w="0" w:type="auto"/>
            <w:vMerge/>
            <w:shd w:val="clear" w:color="auto" w:fill="F1F1F1"/>
            <w:vAlign w:val="center"/>
            <w:hideMark/>
          </w:tcPr>
          <w:p w14:paraId="6ED4BE6C" w14:textId="77777777" w:rsidR="0025164D" w:rsidRPr="00387941" w:rsidRDefault="0025164D" w:rsidP="00227EF9">
            <w:pPr>
              <w:rPr>
                <w:rFonts w:eastAsia="Times New Roman" w:cstheme="minorHAnsi"/>
                <w:b/>
                <w:bCs/>
                <w:color w:val="333333"/>
                <w:lang w:val="pt-PT"/>
              </w:rPr>
            </w:pPr>
          </w:p>
        </w:tc>
        <w:tc>
          <w:tcPr>
            <w:tcW w:w="2108" w:type="pct"/>
            <w:shd w:val="clear" w:color="auto" w:fill="F1F1F1"/>
            <w:hideMark/>
          </w:tcPr>
          <w:p w14:paraId="729A2F84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Algumas das informações necessárias para o microplaneamento da digitalização (por exemplo, cobertura de telemóveis em áreas de difícil acesso) podem não estar disponíveis antes ou durante os workshops de microplaneamento. Em áreas inseguras, o acesso às redes de telemóveis pode variar em função do contexto.</w:t>
            </w:r>
          </w:p>
        </w:tc>
        <w:tc>
          <w:tcPr>
            <w:tcW w:w="2156" w:type="pct"/>
            <w:shd w:val="clear" w:color="auto" w:fill="F1F1F1"/>
            <w:hideMark/>
          </w:tcPr>
          <w:p w14:paraId="201DC594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Se as informações críticas não puderem ser obtidas por outros meios ou forem suscetíveis de sofrer alterações significativas entre o planeamento e a implementação, considerar opções (como Mi-Fi ou hotspots locais) ou manter a recolha de dados em papel, se necessário. Se forem mantidos dados em papel ao nível da equipa de registo/distribuição, considerar opções para a digitalização dos dados o mais cedo possível no circuito de transmissão de dados (por exemplo, ao nível das instalações de saúde ou do subdistrito).</w:t>
            </w:r>
          </w:p>
        </w:tc>
      </w:tr>
      <w:tr w:rsidR="0025164D" w:rsidRPr="00387941" w14:paraId="36B6CB5A" w14:textId="77777777" w:rsidTr="00387941">
        <w:tc>
          <w:tcPr>
            <w:tcW w:w="0" w:type="auto"/>
            <w:vMerge w:val="restart"/>
            <w:shd w:val="clear" w:color="auto" w:fill="FFFFFF"/>
            <w:hideMark/>
          </w:tcPr>
          <w:p w14:paraId="53B5E6A4" w14:textId="77777777" w:rsidR="0025164D" w:rsidRPr="00B2744D" w:rsidRDefault="0025164D" w:rsidP="00227EF9">
            <w:pPr>
              <w:jc w:val="center"/>
              <w:rPr>
                <w:rFonts w:eastAsia="Times New Roman" w:cstheme="minorHAnsi"/>
                <w:b/>
                <w:bCs/>
                <w:color w:val="333333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val="pt"/>
              </w:rPr>
              <w:t>Formação</w:t>
            </w:r>
          </w:p>
        </w:tc>
        <w:tc>
          <w:tcPr>
            <w:tcW w:w="2108" w:type="pct"/>
            <w:shd w:val="clear" w:color="auto" w:fill="FFFFFF"/>
            <w:hideMark/>
          </w:tcPr>
          <w:p w14:paraId="045DF2E1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A formação na componente de digitalização da campanha pode não ser do nível exigido, conduzindo a lacunas nos conhecimentos e competências a todos os níveis do pessoal, o que, por sua vez, é suscetível de conduzir a uma fraca implementação e resultados da campanha.</w:t>
            </w:r>
          </w:p>
        </w:tc>
        <w:tc>
          <w:tcPr>
            <w:tcW w:w="2156" w:type="pct"/>
            <w:shd w:val="clear" w:color="auto" w:fill="FFFFFF"/>
            <w:hideMark/>
          </w:tcPr>
          <w:p w14:paraId="233B584A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Assegurar que as equipas de TIC4D sejam incluídas como facilitadores (e que tenham contribuído para a criação do manual de formação) da ToT a nível central e distrital. Os membros do pessoal de TIC4D devem ser incluídos no planeamento e nos orçamentos para o acompanhamento das sessões de formação descentralizadas, a fim de garantir a qualidade.</w:t>
            </w:r>
          </w:p>
        </w:tc>
      </w:tr>
      <w:tr w:rsidR="0025164D" w:rsidRPr="00387941" w14:paraId="08A0F417" w14:textId="77777777" w:rsidTr="00387941">
        <w:tc>
          <w:tcPr>
            <w:tcW w:w="0" w:type="auto"/>
            <w:vMerge/>
            <w:shd w:val="clear" w:color="auto" w:fill="F1F1F1"/>
            <w:vAlign w:val="center"/>
            <w:hideMark/>
          </w:tcPr>
          <w:p w14:paraId="1DA40594" w14:textId="77777777" w:rsidR="0025164D" w:rsidRPr="00387941" w:rsidRDefault="0025164D" w:rsidP="00227EF9">
            <w:pPr>
              <w:rPr>
                <w:rFonts w:eastAsia="Times New Roman" w:cstheme="minorHAnsi"/>
                <w:b/>
                <w:bCs/>
                <w:color w:val="333333"/>
                <w:lang w:val="pt-PT"/>
              </w:rPr>
            </w:pPr>
          </w:p>
        </w:tc>
        <w:tc>
          <w:tcPr>
            <w:tcW w:w="2108" w:type="pct"/>
            <w:shd w:val="clear" w:color="auto" w:fill="F1F1F1"/>
            <w:hideMark/>
          </w:tcPr>
          <w:p w14:paraId="3876B5FD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A formação pode centrar-se nos dispositivos e nos dados digitais em detrimento de outras áreas cruciais da campanha, como a responsabilidade pelos MTI e a mudança social e de comportamento (MSC).</w:t>
            </w:r>
          </w:p>
        </w:tc>
        <w:tc>
          <w:tcPr>
            <w:tcW w:w="2156" w:type="pct"/>
            <w:shd w:val="clear" w:color="auto" w:fill="F1F1F1"/>
            <w:hideMark/>
          </w:tcPr>
          <w:p w14:paraId="3D307FBB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Assegurar que o tempo previsto é suficiente nas agendas de formação a todos os níveis, tanto para os aspetos técnicos (específicos do tema) como para os aspetos de digitalização da campanha. Aumentar o número de dias de formação para garantir que todos os temas são abordados de forma adequada, se necessário.</w:t>
            </w:r>
          </w:p>
        </w:tc>
      </w:tr>
      <w:tr w:rsidR="0025164D" w:rsidRPr="00387941" w14:paraId="2C805806" w14:textId="77777777" w:rsidTr="00387941">
        <w:tc>
          <w:tcPr>
            <w:tcW w:w="0" w:type="auto"/>
            <w:vMerge w:val="restart"/>
            <w:shd w:val="clear" w:color="auto" w:fill="FFFFFF"/>
            <w:hideMark/>
          </w:tcPr>
          <w:p w14:paraId="21C0D0F4" w14:textId="77777777" w:rsidR="0025164D" w:rsidRPr="00B2744D" w:rsidRDefault="0025164D" w:rsidP="00227EF9">
            <w:pPr>
              <w:jc w:val="center"/>
              <w:rPr>
                <w:rFonts w:eastAsia="Times New Roman" w:cstheme="minorHAnsi"/>
                <w:b/>
                <w:bCs/>
                <w:color w:val="333333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val="pt"/>
              </w:rPr>
              <w:t>Registo de agregados familiares</w:t>
            </w:r>
          </w:p>
        </w:tc>
        <w:tc>
          <w:tcPr>
            <w:tcW w:w="2108" w:type="pct"/>
            <w:shd w:val="clear" w:color="auto" w:fill="FFFFFF"/>
            <w:hideMark/>
          </w:tcPr>
          <w:p w14:paraId="7D1CD5C3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Desconhecimento dos dispositivos de digitalização ao nível do terreno leva a erros na introdução de dados.</w:t>
            </w:r>
          </w:p>
        </w:tc>
        <w:tc>
          <w:tcPr>
            <w:tcW w:w="2156" w:type="pct"/>
            <w:shd w:val="clear" w:color="auto" w:fill="FFFFFF"/>
            <w:hideMark/>
          </w:tcPr>
          <w:p w14:paraId="564191B9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 xml:space="preserve">Familiarizar-se com os dispositivos móveis um pré-requisito para o recrutamento. Se tal apresentar dificuldades, é necessário assegurar que é dedicado tempo suficiente durante a formação para que os participantes se familiarizem com a utilização de dispositivos móveis, o que pode exigir o prolongamento do tempo da sessão de formação. Considerar a utilização de líderes </w:t>
            </w:r>
            <w:r>
              <w:rPr>
                <w:rFonts w:eastAsia="Times New Roman" w:cstheme="minorHAnsi"/>
                <w:color w:val="333333"/>
                <w:lang w:val="pt"/>
              </w:rPr>
              <w:lastRenderedPageBreak/>
              <w:t>comunitários e de voluntários e membros da comunidade sem conhecimentos técnicos para outras atividades da campanha de MTI que não exijam a utilização de dispositivos, como o controlo de multidões e a verificação de que as pessoas se encontram no ponto de distribuição correto. Assegurar que o questionário elaborado para recolher os dados necessários tem uma entrada de texto livre limitada e inclui verificações lógicas automáticas para dados incorretos. Testar o preenchimento do questionário nos dispositivos antes da sua implementação.</w:t>
            </w:r>
          </w:p>
        </w:tc>
      </w:tr>
      <w:tr w:rsidR="0025164D" w:rsidRPr="00387941" w14:paraId="7F5AA292" w14:textId="77777777" w:rsidTr="00387941">
        <w:tc>
          <w:tcPr>
            <w:tcW w:w="0" w:type="auto"/>
            <w:vMerge/>
            <w:shd w:val="clear" w:color="auto" w:fill="F1F1F1"/>
            <w:vAlign w:val="center"/>
            <w:hideMark/>
          </w:tcPr>
          <w:p w14:paraId="52BDB4A5" w14:textId="77777777" w:rsidR="0025164D" w:rsidRPr="00387941" w:rsidRDefault="0025164D" w:rsidP="00227EF9">
            <w:pPr>
              <w:rPr>
                <w:rFonts w:eastAsia="Times New Roman" w:cstheme="minorHAnsi"/>
                <w:b/>
                <w:bCs/>
                <w:color w:val="333333"/>
                <w:lang w:val="pt-PT"/>
              </w:rPr>
            </w:pPr>
          </w:p>
        </w:tc>
        <w:tc>
          <w:tcPr>
            <w:tcW w:w="2108" w:type="pct"/>
            <w:shd w:val="clear" w:color="auto" w:fill="F1F1F1"/>
            <w:hideMark/>
          </w:tcPr>
          <w:p w14:paraId="52C80F4F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Excesso de foco das equipas na recolha de dados digitais em detrimento de outras atividades a nível do agregado familiar, incluindo a divulgação de mensagens de MSC.</w:t>
            </w:r>
          </w:p>
        </w:tc>
        <w:tc>
          <w:tcPr>
            <w:tcW w:w="2156" w:type="pct"/>
            <w:shd w:val="clear" w:color="auto" w:fill="F1F1F1"/>
            <w:hideMark/>
          </w:tcPr>
          <w:p w14:paraId="60001CB8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Assegurar que as listas de verificação de supervisão incluem todos os aspetos do registo do agregado familiar e que os supervisores se concentram tanto na recolha de dados como nos outros aspetos do registo, incluindo o MSC.</w:t>
            </w:r>
          </w:p>
        </w:tc>
      </w:tr>
      <w:tr w:rsidR="0025164D" w:rsidRPr="00387941" w14:paraId="29953F0F" w14:textId="77777777" w:rsidTr="00387941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31BB22D" w14:textId="77777777" w:rsidR="0025164D" w:rsidRPr="00387941" w:rsidRDefault="0025164D" w:rsidP="00227EF9">
            <w:pPr>
              <w:rPr>
                <w:rFonts w:eastAsia="Times New Roman" w:cstheme="minorHAnsi"/>
                <w:b/>
                <w:bCs/>
                <w:color w:val="333333"/>
                <w:lang w:val="pt-PT"/>
              </w:rPr>
            </w:pPr>
          </w:p>
        </w:tc>
        <w:tc>
          <w:tcPr>
            <w:tcW w:w="2108" w:type="pct"/>
            <w:shd w:val="clear" w:color="auto" w:fill="FFFFFF"/>
            <w:hideMark/>
          </w:tcPr>
          <w:p w14:paraId="688F3AFE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O fornecimento inconstante de eletricidade leva a que os dispositivos não sejam carregados regularmente.</w:t>
            </w:r>
          </w:p>
        </w:tc>
        <w:tc>
          <w:tcPr>
            <w:tcW w:w="2156" w:type="pct"/>
            <w:shd w:val="clear" w:color="auto" w:fill="FFFFFF"/>
            <w:hideMark/>
          </w:tcPr>
          <w:p w14:paraId="59D70986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Assegurar a disponibilização de baterias externas nas áreas onde o fornecimento de eletricidade é inconstante. Assegurar que a aplicação ou a plataforma selecionada tem uma opção de recolha de dados offline. Assegurar que o processo de microplaneamento identifica estas áreas. Utilizar o software MDM para bloquear a instalação de aplicações e assegurar que outras aplicações desnecessárias estão desativadas e não consomem a bateria.</w:t>
            </w:r>
          </w:p>
        </w:tc>
      </w:tr>
      <w:tr w:rsidR="0025164D" w:rsidRPr="00B2744D" w14:paraId="42BF701C" w14:textId="77777777" w:rsidTr="00387941">
        <w:tc>
          <w:tcPr>
            <w:tcW w:w="0" w:type="auto"/>
            <w:vMerge/>
            <w:shd w:val="clear" w:color="auto" w:fill="F1F1F1"/>
            <w:vAlign w:val="center"/>
            <w:hideMark/>
          </w:tcPr>
          <w:p w14:paraId="5DA0F312" w14:textId="77777777" w:rsidR="0025164D" w:rsidRPr="00387941" w:rsidRDefault="0025164D" w:rsidP="00227EF9">
            <w:pPr>
              <w:rPr>
                <w:rFonts w:eastAsia="Times New Roman" w:cstheme="minorHAnsi"/>
                <w:b/>
                <w:bCs/>
                <w:color w:val="333333"/>
                <w:lang w:val="pt-PT"/>
              </w:rPr>
            </w:pPr>
          </w:p>
        </w:tc>
        <w:tc>
          <w:tcPr>
            <w:tcW w:w="2108" w:type="pct"/>
            <w:shd w:val="clear" w:color="auto" w:fill="F1F1F1"/>
            <w:hideMark/>
          </w:tcPr>
          <w:p w14:paraId="0299E477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Os erros de introdução de dados levam à tomada de decisões com base em dados/informações incorretos.</w:t>
            </w:r>
          </w:p>
        </w:tc>
        <w:tc>
          <w:tcPr>
            <w:tcW w:w="2156" w:type="pct"/>
            <w:shd w:val="clear" w:color="auto" w:fill="F1F1F1"/>
            <w:hideMark/>
          </w:tcPr>
          <w:p w14:paraId="64DE646C" w14:textId="77777777" w:rsidR="0025164D" w:rsidRPr="00B2744D" w:rsidRDefault="0025164D" w:rsidP="00227EF9">
            <w:pPr>
              <w:rPr>
                <w:rFonts w:eastAsia="Times New Roman" w:cstheme="minorHAnsi"/>
                <w:color w:val="333333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Melhorar a formação para que os participantes possam praticar a introdução de informações. Melhorar a supervisão das equipas porta a porta e dos pontos de distribuição fixos e assegurar a disponibilidade de procedimentos operacionais padrão (SOP) passo a passo para as equipas e os supervisores utilizarem. Assegurar o controlo do registo dos agregados familiares (interno ou independente). Formar os gestores de dados para garantir que os dados apresentados diariamente são verificados quanto à existência de erros e que o feedback é fornecido o mais rapidamente possível para a tomada de medidas corretivas. Incluir controlos no questionário para reduzir erros previsíveis.</w:t>
            </w:r>
          </w:p>
        </w:tc>
      </w:tr>
      <w:tr w:rsidR="0025164D" w:rsidRPr="00387941" w14:paraId="18FBCE30" w14:textId="77777777" w:rsidTr="00387941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53CA9BA" w14:textId="77777777" w:rsidR="0025164D" w:rsidRPr="00B2744D" w:rsidRDefault="0025164D" w:rsidP="00227EF9">
            <w:pPr>
              <w:rPr>
                <w:rFonts w:eastAsia="Times New Roman" w:cstheme="minorHAnsi"/>
                <w:b/>
                <w:bCs/>
                <w:color w:val="333333"/>
              </w:rPr>
            </w:pPr>
          </w:p>
        </w:tc>
        <w:tc>
          <w:tcPr>
            <w:tcW w:w="2108" w:type="pct"/>
            <w:shd w:val="clear" w:color="auto" w:fill="FFFFFF"/>
            <w:hideMark/>
          </w:tcPr>
          <w:p w14:paraId="43483051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A utilização de dispositivos de «propriedade comunitária» que não cumpram os requisitos técnicos mínimos básicos pode levar a atrasos na implementação.</w:t>
            </w:r>
          </w:p>
        </w:tc>
        <w:tc>
          <w:tcPr>
            <w:tcW w:w="2156" w:type="pct"/>
            <w:shd w:val="clear" w:color="auto" w:fill="FFFFFF"/>
            <w:hideMark/>
          </w:tcPr>
          <w:p w14:paraId="437274E8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Assegurar que seja estabelecida uma norma mínima para os requisitos técnicos dos dispositivos, de modo que estes possam funcionar com a plataforma de recolha de dados selecionada.</w:t>
            </w:r>
          </w:p>
        </w:tc>
      </w:tr>
      <w:tr w:rsidR="0025164D" w:rsidRPr="00387941" w14:paraId="377FB56A" w14:textId="77777777" w:rsidTr="00387941">
        <w:tc>
          <w:tcPr>
            <w:tcW w:w="0" w:type="auto"/>
            <w:vMerge/>
            <w:shd w:val="clear" w:color="auto" w:fill="F1F1F1"/>
            <w:vAlign w:val="center"/>
            <w:hideMark/>
          </w:tcPr>
          <w:p w14:paraId="0F21BC1E" w14:textId="77777777" w:rsidR="0025164D" w:rsidRPr="00387941" w:rsidRDefault="0025164D" w:rsidP="00227EF9">
            <w:pPr>
              <w:rPr>
                <w:rFonts w:eastAsia="Times New Roman" w:cstheme="minorHAnsi"/>
                <w:b/>
                <w:bCs/>
                <w:color w:val="333333"/>
                <w:lang w:val="pt-PT"/>
              </w:rPr>
            </w:pPr>
          </w:p>
        </w:tc>
        <w:tc>
          <w:tcPr>
            <w:tcW w:w="2108" w:type="pct"/>
            <w:shd w:val="clear" w:color="auto" w:fill="F1F1F1"/>
            <w:hideMark/>
          </w:tcPr>
          <w:p w14:paraId="1C3A729D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Ligação à Internet deficiente ou inexistente para carregar os dados recolhidos.</w:t>
            </w:r>
          </w:p>
        </w:tc>
        <w:tc>
          <w:tcPr>
            <w:tcW w:w="2156" w:type="pct"/>
            <w:shd w:val="clear" w:color="auto" w:fill="F1F1F1"/>
            <w:hideMark/>
          </w:tcPr>
          <w:p w14:paraId="094BAEDB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Assegurar que o microplaneamento inclua o mapeamento das áreas de cobertura das diferentes empresas de telecomunicações que operam no país. Assegurar que a solução digital escolhida permite a recolha de dados offline. Disponibilizar dispositivos móveis com capacidade suficiente para tratar os dados recolhidos. Identificar a área de cobertura de rede mais próxima para sincronizar com o servidor. Considerar uma opção em papel ou uma cópia de segurança.</w:t>
            </w:r>
          </w:p>
        </w:tc>
      </w:tr>
      <w:tr w:rsidR="0025164D" w:rsidRPr="00387941" w14:paraId="205D8760" w14:textId="77777777" w:rsidTr="00387941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95F83A4" w14:textId="77777777" w:rsidR="0025164D" w:rsidRPr="00387941" w:rsidRDefault="0025164D" w:rsidP="00227EF9">
            <w:pPr>
              <w:rPr>
                <w:rFonts w:eastAsia="Times New Roman" w:cstheme="minorHAnsi"/>
                <w:b/>
                <w:bCs/>
                <w:color w:val="333333"/>
                <w:lang w:val="pt-PT"/>
              </w:rPr>
            </w:pPr>
          </w:p>
        </w:tc>
        <w:tc>
          <w:tcPr>
            <w:tcW w:w="2108" w:type="pct"/>
            <w:shd w:val="clear" w:color="auto" w:fill="FFFFFF"/>
            <w:hideMark/>
          </w:tcPr>
          <w:p w14:paraId="204A0625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A insegurança no terreno ou em ambientes operacionais desafiantes pode levar ao roubo de dispositivos essenciais para o processo de digitalização, bem como colocar a vida do pessoal em perigo, uma vez que os dispositivos móveis podem ser bens muito procurados.</w:t>
            </w:r>
          </w:p>
        </w:tc>
        <w:tc>
          <w:tcPr>
            <w:tcW w:w="2156" w:type="pct"/>
            <w:shd w:val="clear" w:color="auto" w:fill="FFFFFF"/>
            <w:hideMark/>
          </w:tcPr>
          <w:p w14:paraId="52DA6B91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Assegurar que as áreas com um elevado nível de insegurança foram identificadas durante o macroplaneamento e verificadas durante o processo de microplaneamento. Uma vez identificadas, determinar as abordagens que podem ser consideradas, incluindo (1) manter a recolha de dados em papel em áreas de alto risco, (2) organizar reuniões de sensibilização com agências de segurança/líderes locais, etc. para discutir opções a fim de garantir a segurança do pessoal e dos dispositivos, ou (3) outras opções com base no contexto.</w:t>
            </w:r>
          </w:p>
        </w:tc>
      </w:tr>
      <w:tr w:rsidR="0025164D" w:rsidRPr="00387941" w14:paraId="1518AA40" w14:textId="77777777" w:rsidTr="00387941">
        <w:tc>
          <w:tcPr>
            <w:tcW w:w="0" w:type="auto"/>
            <w:vMerge w:val="restart"/>
            <w:shd w:val="clear" w:color="auto" w:fill="FFFFFF"/>
            <w:hideMark/>
          </w:tcPr>
          <w:p w14:paraId="3F1F1E5B" w14:textId="77777777" w:rsidR="0025164D" w:rsidRPr="00B2744D" w:rsidRDefault="0025164D" w:rsidP="00227EF9">
            <w:pPr>
              <w:jc w:val="center"/>
              <w:rPr>
                <w:rFonts w:eastAsia="Times New Roman" w:cstheme="minorHAnsi"/>
                <w:b/>
                <w:bCs/>
                <w:color w:val="333333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val="pt"/>
              </w:rPr>
              <w:t>Cadeia de abastecimento</w:t>
            </w:r>
          </w:p>
        </w:tc>
        <w:tc>
          <w:tcPr>
            <w:tcW w:w="2108" w:type="pct"/>
            <w:shd w:val="clear" w:color="auto" w:fill="F1F1F1"/>
            <w:hideMark/>
          </w:tcPr>
          <w:p w14:paraId="27DC508B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Desconhecimento dos dispositivos/processos de digitalização em toda a cadeia de abastecimento leva a erros na transmissão de dados que afetam a responsabilidade pelos MTI.</w:t>
            </w:r>
          </w:p>
        </w:tc>
        <w:tc>
          <w:tcPr>
            <w:tcW w:w="2156" w:type="pct"/>
            <w:shd w:val="clear" w:color="auto" w:fill="F1F1F1"/>
            <w:hideMark/>
          </w:tcPr>
          <w:p w14:paraId="4A0AA2E9" w14:textId="46FF868A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Assegurar que o pessoal de logística (a todos os níveis) seja devidamente formado no processo e protocolos de digitalização e tenha tempo para praticar a utilização das ferramentas digitais para a manutenção de registos. Monitorizar os dados apresentados em relação aos dados que se espera que sejam apresentados e investigar de forma proativa os dados não transmitidos atempadamente, utilizando a plataforma ou o software MDM.</w:t>
            </w:r>
          </w:p>
        </w:tc>
      </w:tr>
      <w:tr w:rsidR="0025164D" w:rsidRPr="00387941" w14:paraId="7F5B6A9A" w14:textId="77777777" w:rsidTr="00387941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E481869" w14:textId="77777777" w:rsidR="0025164D" w:rsidRPr="00387941" w:rsidRDefault="0025164D" w:rsidP="00227EF9">
            <w:pPr>
              <w:rPr>
                <w:rFonts w:eastAsia="Times New Roman" w:cstheme="minorHAnsi"/>
                <w:b/>
                <w:bCs/>
                <w:color w:val="333333"/>
                <w:lang w:val="pt-PT"/>
              </w:rPr>
            </w:pPr>
          </w:p>
        </w:tc>
        <w:tc>
          <w:tcPr>
            <w:tcW w:w="2108" w:type="pct"/>
            <w:shd w:val="clear" w:color="auto" w:fill="FFFFFF"/>
            <w:hideMark/>
          </w:tcPr>
          <w:p w14:paraId="5EDD7911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Insegurança a nível do armazenamento subnacional ou em ambientes operacionais desafiantes pode levar ao roubo de dispositivos essenciais para o processo de digitalização.</w:t>
            </w:r>
          </w:p>
        </w:tc>
        <w:tc>
          <w:tcPr>
            <w:tcW w:w="2156" w:type="pct"/>
            <w:shd w:val="clear" w:color="auto" w:fill="FFFFFF"/>
            <w:hideMark/>
          </w:tcPr>
          <w:p w14:paraId="717A6401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 xml:space="preserve">Assegurar que as áreas com um elevado nível de insegurança foram identificadas durante o macroplaneamento e verificadas durante o processo de microplaneamento. Uma vez identificadas, </w:t>
            </w:r>
            <w:r>
              <w:rPr>
                <w:rFonts w:eastAsia="Times New Roman" w:cstheme="minorHAnsi"/>
                <w:color w:val="333333"/>
                <w:lang w:val="pt"/>
              </w:rPr>
              <w:lastRenderedPageBreak/>
              <w:t>determinar as abordagens que podem ser consideradas, incluindo (1) manter a recolha de dados em papel em áreas de alto risco, (2) organizar reuniões de sensibilização com agências de segurança/líderes locais, etc. para discutir opções a fim de garantir a segurança do pessoal e dos dispositivos, ou (3) outras opções com base no contexto.</w:t>
            </w:r>
          </w:p>
        </w:tc>
      </w:tr>
      <w:tr w:rsidR="0025164D" w:rsidRPr="00387941" w14:paraId="0C026EA7" w14:textId="77777777" w:rsidTr="00387941">
        <w:tc>
          <w:tcPr>
            <w:tcW w:w="0" w:type="auto"/>
            <w:shd w:val="clear" w:color="auto" w:fill="FFFFFF"/>
            <w:hideMark/>
          </w:tcPr>
          <w:p w14:paraId="71159A0B" w14:textId="77777777" w:rsidR="0025164D" w:rsidRPr="00387941" w:rsidRDefault="0025164D" w:rsidP="00227EF9">
            <w:pPr>
              <w:jc w:val="center"/>
              <w:rPr>
                <w:rFonts w:eastAsia="Times New Roman" w:cstheme="minorHAnsi"/>
                <w:b/>
                <w:bCs/>
                <w:color w:val="333333"/>
                <w:lang w:val="pt-PT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val="pt"/>
              </w:rPr>
              <w:lastRenderedPageBreak/>
              <w:t>Mudança social e de comportamento</w:t>
            </w:r>
          </w:p>
        </w:tc>
        <w:tc>
          <w:tcPr>
            <w:tcW w:w="2108" w:type="pct"/>
            <w:shd w:val="clear" w:color="auto" w:fill="F1F1F1"/>
            <w:hideMark/>
          </w:tcPr>
          <w:p w14:paraId="64C37AD3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Os agregados familiares com pouco acesso a ferramentas digitais (por exemplo, dispositivos móveis, ligação à Internet, etc.) não estão a receber as principais mensagens de MSC.</w:t>
            </w:r>
          </w:p>
        </w:tc>
        <w:tc>
          <w:tcPr>
            <w:tcW w:w="2156" w:type="pct"/>
            <w:shd w:val="clear" w:color="auto" w:fill="F1F1F1"/>
            <w:hideMark/>
          </w:tcPr>
          <w:p w14:paraId="3A4BE0F8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Assegurar que o plano de ação para a digitalização utiliza dados (como a penetração de telefones e smartphones, a utilização das redes sociais, etc.) para informar as decisões sobre a MSC e a utilização da digitalização e das plataformas online para a difusão de mensagens. Assegurar que o processo de microplaneamento identifica áreas/populações com pouco ou nenhum acesso a ferramentas digitais e que são identificadas atividades alternativas de MSC e canais de divulgação de mensagens para aumentar o alcance de todos os agregados familiares visados.</w:t>
            </w:r>
          </w:p>
        </w:tc>
      </w:tr>
      <w:tr w:rsidR="0025164D" w:rsidRPr="00387941" w14:paraId="75B55B95" w14:textId="77777777" w:rsidTr="00387941">
        <w:tc>
          <w:tcPr>
            <w:tcW w:w="0" w:type="auto"/>
            <w:vMerge w:val="restart"/>
            <w:shd w:val="clear" w:color="auto" w:fill="FFFFFF"/>
            <w:hideMark/>
          </w:tcPr>
          <w:p w14:paraId="545BA700" w14:textId="77777777" w:rsidR="0025164D" w:rsidRPr="00B2744D" w:rsidRDefault="0025164D" w:rsidP="00227EF9">
            <w:pPr>
              <w:jc w:val="center"/>
              <w:rPr>
                <w:rFonts w:eastAsia="Times New Roman" w:cstheme="minorHAnsi"/>
                <w:b/>
                <w:bCs/>
                <w:color w:val="333333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val="pt"/>
              </w:rPr>
              <w:t>Distribuição de MTI</w:t>
            </w:r>
          </w:p>
        </w:tc>
        <w:tc>
          <w:tcPr>
            <w:tcW w:w="2108" w:type="pct"/>
            <w:shd w:val="clear" w:color="auto" w:fill="FFFFFF"/>
            <w:hideMark/>
          </w:tcPr>
          <w:p w14:paraId="5B229CE4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Desconhecimento dos dispositivos de digitalização ao nível do terreno leva a erros na introdução de dados durante a distribuição de MTI.</w:t>
            </w:r>
          </w:p>
        </w:tc>
        <w:tc>
          <w:tcPr>
            <w:tcW w:w="2156" w:type="pct"/>
            <w:shd w:val="clear" w:color="auto" w:fill="FFFFFF"/>
            <w:hideMark/>
          </w:tcPr>
          <w:p w14:paraId="59E9B443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Familiarizar-se com os dispositivos móveis um pré-requisito para o recrutamento. Se tal apresentar dificuldades, é necessário assegurar que é dedicado tempo suficiente durante a formação para que os participantes se familiarizem com a utilização de dispositivos móveis, o que pode exigir o prolongamento do tempo da sessão de formação. Considerar a utilização de líderes comunitários e de voluntários e membros da comunidade sem conhecimentos técnicos para outras atividades da campanha de MTI que não exijam a utilização de dispositivos, como o controlo de multidões e a verificação de que as pessoas se encontram no ponto de distribuição correto. Criar SOP para os dispositivos e resolução de problemas que os responsáveis de recolha de dados possam consultar rapidamente para orientação. Assegurar que os SOP incluem procedimentos para quando e como escalar um problema, bem como a quem, antes de este se tornar crítico.</w:t>
            </w:r>
          </w:p>
        </w:tc>
      </w:tr>
      <w:tr w:rsidR="0025164D" w:rsidRPr="00B2744D" w14:paraId="391F0CB7" w14:textId="77777777" w:rsidTr="00387941">
        <w:tc>
          <w:tcPr>
            <w:tcW w:w="0" w:type="auto"/>
            <w:vMerge/>
            <w:shd w:val="clear" w:color="auto" w:fill="F1F1F1"/>
            <w:vAlign w:val="center"/>
            <w:hideMark/>
          </w:tcPr>
          <w:p w14:paraId="49875CE3" w14:textId="77777777" w:rsidR="0025164D" w:rsidRPr="00387941" w:rsidRDefault="0025164D" w:rsidP="00227EF9">
            <w:pPr>
              <w:rPr>
                <w:rFonts w:eastAsia="Times New Roman" w:cstheme="minorHAnsi"/>
                <w:b/>
                <w:bCs/>
                <w:color w:val="333333"/>
                <w:lang w:val="pt-PT"/>
              </w:rPr>
            </w:pPr>
          </w:p>
        </w:tc>
        <w:tc>
          <w:tcPr>
            <w:tcW w:w="2108" w:type="pct"/>
            <w:shd w:val="clear" w:color="auto" w:fill="F1F1F1"/>
            <w:hideMark/>
          </w:tcPr>
          <w:p w14:paraId="690350BF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O fornecimento inconstante de eletricidade significa que os dispositivos podem não ser carregados regularmente.</w:t>
            </w:r>
          </w:p>
        </w:tc>
        <w:tc>
          <w:tcPr>
            <w:tcW w:w="2156" w:type="pct"/>
            <w:shd w:val="clear" w:color="auto" w:fill="F1F1F1"/>
            <w:hideMark/>
          </w:tcPr>
          <w:p w14:paraId="3F3D98E3" w14:textId="77777777" w:rsidR="0025164D" w:rsidRPr="00B2744D" w:rsidRDefault="0025164D" w:rsidP="00227EF9">
            <w:pPr>
              <w:rPr>
                <w:rFonts w:eastAsia="Times New Roman" w:cstheme="minorHAnsi"/>
                <w:color w:val="333333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Assegurar a disponibilização de baterias externas nas áreas onde o fornecimento de eletricidade é inconstante. Assegurar que o processo de microplaneamento identifica estas áreas.</w:t>
            </w:r>
          </w:p>
        </w:tc>
      </w:tr>
      <w:tr w:rsidR="0025164D" w:rsidRPr="00B2744D" w14:paraId="35061705" w14:textId="77777777" w:rsidTr="00387941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737908F" w14:textId="77777777" w:rsidR="0025164D" w:rsidRPr="00B2744D" w:rsidRDefault="0025164D" w:rsidP="00227EF9">
            <w:pPr>
              <w:rPr>
                <w:rFonts w:eastAsia="Times New Roman" w:cstheme="minorHAnsi"/>
                <w:b/>
                <w:bCs/>
                <w:color w:val="333333"/>
              </w:rPr>
            </w:pPr>
          </w:p>
        </w:tc>
        <w:tc>
          <w:tcPr>
            <w:tcW w:w="2108" w:type="pct"/>
            <w:shd w:val="clear" w:color="auto" w:fill="FFFFFF"/>
            <w:hideMark/>
          </w:tcPr>
          <w:p w14:paraId="29B1B41D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Os erros de introdução de dados significam que as decisões podem ser tomadas com base em dados/informações incorretos.</w:t>
            </w:r>
          </w:p>
        </w:tc>
        <w:tc>
          <w:tcPr>
            <w:tcW w:w="2156" w:type="pct"/>
            <w:shd w:val="clear" w:color="auto" w:fill="FFFFFF"/>
            <w:hideMark/>
          </w:tcPr>
          <w:p w14:paraId="2157813F" w14:textId="77777777" w:rsidR="0025164D" w:rsidRPr="00B2744D" w:rsidRDefault="0025164D" w:rsidP="00227EF9">
            <w:pPr>
              <w:rPr>
                <w:rFonts w:eastAsia="Times New Roman" w:cstheme="minorHAnsi"/>
                <w:color w:val="333333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Melhorar a formação para que os participantes possam praticar a introdução de informações. Melhorar o controlo dos dados de distribuição de MTI apresentados online para identificar erros nos dados. Desenvolver controlos na aplicação para detetar automaticamente erros comuns.</w:t>
            </w:r>
          </w:p>
        </w:tc>
      </w:tr>
      <w:tr w:rsidR="0025164D" w:rsidRPr="00387941" w14:paraId="627AF843" w14:textId="77777777" w:rsidTr="00387941">
        <w:tc>
          <w:tcPr>
            <w:tcW w:w="0" w:type="auto"/>
            <w:shd w:val="clear" w:color="auto" w:fill="FFFFFF"/>
            <w:hideMark/>
          </w:tcPr>
          <w:p w14:paraId="45ADD915" w14:textId="77777777" w:rsidR="0025164D" w:rsidRPr="00B2744D" w:rsidRDefault="0025164D" w:rsidP="00227EF9">
            <w:pPr>
              <w:jc w:val="center"/>
              <w:rPr>
                <w:rFonts w:eastAsia="Times New Roman" w:cstheme="minorHAnsi"/>
                <w:b/>
                <w:bCs/>
                <w:color w:val="333333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val="pt"/>
              </w:rPr>
              <w:t>Supervisão</w:t>
            </w:r>
          </w:p>
        </w:tc>
        <w:tc>
          <w:tcPr>
            <w:tcW w:w="2108" w:type="pct"/>
            <w:shd w:val="clear" w:color="auto" w:fill="F1F1F1"/>
            <w:hideMark/>
          </w:tcPr>
          <w:p w14:paraId="396DD24C" w14:textId="4DB391BE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Os dados recolhidos não permitem identificar facilmente os erros e definir as medidas corretivas.</w:t>
            </w:r>
          </w:p>
        </w:tc>
        <w:tc>
          <w:tcPr>
            <w:tcW w:w="2156" w:type="pct"/>
            <w:shd w:val="clear" w:color="auto" w:fill="F1F1F1"/>
            <w:hideMark/>
          </w:tcPr>
          <w:p w14:paraId="45297504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Assegurar que os metadados estão ativados ao preencher o questionário para recolher a ID do dispositivo, a hora, a data e os dados geolocalizados para facilitar a monitorização e as medidas corretivas, se necessário.</w:t>
            </w:r>
          </w:p>
        </w:tc>
      </w:tr>
      <w:tr w:rsidR="0025164D" w:rsidRPr="00387941" w14:paraId="152C8390" w14:textId="77777777" w:rsidTr="00387941">
        <w:tc>
          <w:tcPr>
            <w:tcW w:w="0" w:type="auto"/>
            <w:shd w:val="clear" w:color="auto" w:fill="FFFFFF"/>
            <w:hideMark/>
          </w:tcPr>
          <w:p w14:paraId="22930C11" w14:textId="77777777" w:rsidR="0025164D" w:rsidRPr="00B2744D" w:rsidRDefault="0025164D" w:rsidP="00227EF9">
            <w:pPr>
              <w:jc w:val="center"/>
              <w:rPr>
                <w:rFonts w:eastAsia="Times New Roman" w:cstheme="minorHAnsi"/>
                <w:b/>
                <w:bCs/>
                <w:color w:val="333333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val="pt"/>
              </w:rPr>
              <w:t>Acompanhamento</w:t>
            </w:r>
          </w:p>
        </w:tc>
        <w:tc>
          <w:tcPr>
            <w:tcW w:w="2108" w:type="pct"/>
            <w:shd w:val="clear" w:color="auto" w:fill="FFFFFF"/>
            <w:hideMark/>
          </w:tcPr>
          <w:p w14:paraId="7E42A6F6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Um acesso à Internet fraco ou inconstante pode significar que os dados de acompanhamento não são recebidos em tempo real/quase em tempo real, o que provoca atrasos na tomada de decisões.</w:t>
            </w:r>
          </w:p>
        </w:tc>
        <w:tc>
          <w:tcPr>
            <w:tcW w:w="2156" w:type="pct"/>
            <w:shd w:val="clear" w:color="auto" w:fill="FFFFFF"/>
            <w:hideMark/>
          </w:tcPr>
          <w:p w14:paraId="5E0C33CF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Assegurar que as áreas de conetividade à Internet baixa ou inconstante sejam identificadas durante o microplaneamento e que sejam planeadas alternativas (como Mi-Fi ou outros meios de conetividade, transmissão de dados recolhidos por SMS antes da sincronização com a base de dados, etc.) para essas áreas.</w:t>
            </w:r>
          </w:p>
        </w:tc>
      </w:tr>
      <w:tr w:rsidR="0025164D" w:rsidRPr="00387941" w14:paraId="306D1A3F" w14:textId="77777777" w:rsidTr="00387941">
        <w:tc>
          <w:tcPr>
            <w:tcW w:w="0" w:type="auto"/>
            <w:vMerge w:val="restart"/>
            <w:shd w:val="clear" w:color="auto" w:fill="FFFFFF"/>
            <w:hideMark/>
          </w:tcPr>
          <w:p w14:paraId="67BFEC59" w14:textId="77777777" w:rsidR="0025164D" w:rsidRPr="00B2744D" w:rsidRDefault="0025164D" w:rsidP="00227EF9">
            <w:pPr>
              <w:jc w:val="center"/>
              <w:rPr>
                <w:rFonts w:eastAsia="Times New Roman" w:cstheme="minorHAnsi"/>
                <w:b/>
                <w:bCs/>
                <w:color w:val="333333"/>
              </w:rPr>
            </w:pPr>
            <w:r>
              <w:rPr>
                <w:rFonts w:eastAsia="Times New Roman" w:cstheme="minorHAnsi"/>
                <w:b/>
                <w:bCs/>
                <w:color w:val="FF0000"/>
                <w:lang w:val="pt"/>
              </w:rPr>
              <w:t>Pagamento</w:t>
            </w:r>
          </w:p>
        </w:tc>
        <w:tc>
          <w:tcPr>
            <w:tcW w:w="2108" w:type="pct"/>
            <w:shd w:val="clear" w:color="auto" w:fill="F1F1F1"/>
            <w:hideMark/>
          </w:tcPr>
          <w:p w14:paraId="48DB05A5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Falta de numerário no ponto de pagamento</w:t>
            </w:r>
          </w:p>
        </w:tc>
        <w:tc>
          <w:tcPr>
            <w:tcW w:w="2156" w:type="pct"/>
            <w:shd w:val="clear" w:color="auto" w:fill="F1F1F1"/>
            <w:hideMark/>
          </w:tcPr>
          <w:p w14:paraId="157479B0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Coordenar com a rede de telecomunicações preferencial que fornece o pagamento móvel em cada local e fornecer informações sobre os montantes e as datas dos pagamentos aos intervenientes na campanha para facilitar o planeamento antecipado.</w:t>
            </w:r>
          </w:p>
        </w:tc>
      </w:tr>
      <w:tr w:rsidR="0025164D" w:rsidRPr="00387941" w14:paraId="63830D0E" w14:textId="77777777" w:rsidTr="00387941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494BD66" w14:textId="77777777" w:rsidR="0025164D" w:rsidRPr="00387941" w:rsidRDefault="0025164D" w:rsidP="00227EF9">
            <w:pPr>
              <w:rPr>
                <w:rFonts w:eastAsia="Times New Roman" w:cstheme="minorHAnsi"/>
                <w:b/>
                <w:bCs/>
                <w:color w:val="333333"/>
                <w:lang w:val="pt-PT"/>
              </w:rPr>
            </w:pPr>
          </w:p>
        </w:tc>
        <w:tc>
          <w:tcPr>
            <w:tcW w:w="2108" w:type="pct"/>
            <w:shd w:val="clear" w:color="auto" w:fill="FFFFFF"/>
            <w:hideMark/>
          </w:tcPr>
          <w:p w14:paraId="3932DC14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Alinhamento da identificação entre os trabalhadores da campanha e os números fornecidos para pagamento como, por exemplo, quando um telefone é «emprestado» para efeitos de pagamento</w:t>
            </w:r>
          </w:p>
        </w:tc>
        <w:tc>
          <w:tcPr>
            <w:tcW w:w="2156" w:type="pct"/>
            <w:shd w:val="clear" w:color="auto" w:fill="FFFFFF"/>
            <w:hideMark/>
          </w:tcPr>
          <w:p w14:paraId="6F31C5ED" w14:textId="77777777" w:rsidR="0025164D" w:rsidRPr="00387941" w:rsidRDefault="0025164D" w:rsidP="00227EF9">
            <w:pPr>
              <w:rPr>
                <w:rFonts w:eastAsia="Times New Roman" w:cstheme="minorHAnsi"/>
                <w:color w:val="333333"/>
                <w:lang w:val="pt-PT"/>
              </w:rPr>
            </w:pPr>
            <w:r>
              <w:rPr>
                <w:rFonts w:eastAsia="Times New Roman" w:cstheme="minorHAnsi"/>
                <w:color w:val="333333"/>
                <w:lang w:val="pt"/>
              </w:rPr>
              <w:t>Verificar com as empresas de telecomunicações móveis os meios técnicos de mitigação, por exemplo, a empresa fornece um cartão SIM único a cada utilizador.</w:t>
            </w:r>
          </w:p>
        </w:tc>
      </w:tr>
    </w:tbl>
    <w:p w14:paraId="4AB961E8" w14:textId="77777777" w:rsidR="0025164D" w:rsidRPr="00387941" w:rsidRDefault="0025164D">
      <w:pPr>
        <w:rPr>
          <w:lang w:val="pt-PT"/>
        </w:rPr>
      </w:pPr>
    </w:p>
    <w:sectPr w:rsidR="0025164D" w:rsidRPr="00387941" w:rsidSect="0025164D">
      <w:footerReference w:type="default" r:id="rId7"/>
      <w:headerReference w:type="first" r:id="rId8"/>
      <w:footerReference w:type="first" r:id="rId9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444E8" w14:textId="77777777" w:rsidR="00D96604" w:rsidRDefault="00D96604" w:rsidP="0025164D">
      <w:r>
        <w:separator/>
      </w:r>
    </w:p>
  </w:endnote>
  <w:endnote w:type="continuationSeparator" w:id="0">
    <w:p w14:paraId="6DDFAEA8" w14:textId="77777777" w:rsidR="00D96604" w:rsidRDefault="00D96604" w:rsidP="0025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1558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465532" w14:textId="1EE73A28" w:rsidR="0025164D" w:rsidRDefault="0025164D">
        <w:pPr>
          <w:pStyle w:val="Footer"/>
          <w:jc w:val="center"/>
        </w:pPr>
        <w:r>
          <w:rPr>
            <w:lang w:val="pt"/>
          </w:rPr>
          <w:fldChar w:fldCharType="begin"/>
        </w:r>
        <w:r>
          <w:rPr>
            <w:lang w:val="pt"/>
          </w:rPr>
          <w:instrText xml:space="preserve"> PAGE   \* MERGEFORMAT </w:instrText>
        </w:r>
        <w:r>
          <w:rPr>
            <w:lang w:val="pt"/>
          </w:rPr>
          <w:fldChar w:fldCharType="separate"/>
        </w:r>
        <w:r>
          <w:rPr>
            <w:noProof/>
            <w:lang w:val="pt"/>
          </w:rPr>
          <w:t>2</w:t>
        </w:r>
        <w:r>
          <w:rPr>
            <w:noProof/>
            <w:lang w:val="pt"/>
          </w:rPr>
          <w:fldChar w:fldCharType="end"/>
        </w:r>
      </w:p>
    </w:sdtContent>
  </w:sdt>
  <w:p w14:paraId="7460FAD5" w14:textId="77777777" w:rsidR="0025164D" w:rsidRDefault="002516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9695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99D36" w14:textId="2CA8FEBB" w:rsidR="0025164D" w:rsidRDefault="0025164D">
        <w:pPr>
          <w:pStyle w:val="Footer"/>
          <w:jc w:val="center"/>
        </w:pPr>
        <w:r>
          <w:rPr>
            <w:lang w:val="pt"/>
          </w:rPr>
          <w:fldChar w:fldCharType="begin"/>
        </w:r>
        <w:r>
          <w:rPr>
            <w:lang w:val="pt"/>
          </w:rPr>
          <w:instrText xml:space="preserve"> PAGE   \* MERGEFORMAT </w:instrText>
        </w:r>
        <w:r>
          <w:rPr>
            <w:lang w:val="pt"/>
          </w:rPr>
          <w:fldChar w:fldCharType="separate"/>
        </w:r>
        <w:r>
          <w:rPr>
            <w:noProof/>
            <w:lang w:val="pt"/>
          </w:rPr>
          <w:t>2</w:t>
        </w:r>
        <w:r>
          <w:rPr>
            <w:noProof/>
            <w:lang w:val="pt"/>
          </w:rPr>
          <w:fldChar w:fldCharType="end"/>
        </w:r>
      </w:p>
    </w:sdtContent>
  </w:sdt>
  <w:p w14:paraId="53E402A5" w14:textId="77777777" w:rsidR="0025164D" w:rsidRDefault="00251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7423D" w14:textId="77777777" w:rsidR="00D96604" w:rsidRDefault="00D96604" w:rsidP="0025164D">
      <w:r>
        <w:separator/>
      </w:r>
    </w:p>
  </w:footnote>
  <w:footnote w:type="continuationSeparator" w:id="0">
    <w:p w14:paraId="07D4E7CB" w14:textId="77777777" w:rsidR="00D96604" w:rsidRDefault="00D96604" w:rsidP="00251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A16D" w14:textId="2027BDDC" w:rsidR="0025164D" w:rsidRDefault="0025164D">
    <w:pPr>
      <w:pStyle w:val="Header"/>
    </w:pPr>
    <w:r>
      <w:rPr>
        <w:noProof/>
        <w:color w:val="000000"/>
        <w:sz w:val="20"/>
        <w:szCs w:val="20"/>
        <w:lang w:val="pt"/>
      </w:rPr>
      <w:drawing>
        <wp:inline distT="0" distB="0" distL="0" distR="0" wp14:anchorId="2FAB61D0" wp14:editId="5CD42793">
          <wp:extent cx="3091815" cy="710565"/>
          <wp:effectExtent l="0" t="0" r="0" b="0"/>
          <wp:docPr id="2" name="image1.png" descr="Tex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91815" cy="710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4D"/>
    <w:rsid w:val="0025164D"/>
    <w:rsid w:val="002C1BC6"/>
    <w:rsid w:val="00387941"/>
    <w:rsid w:val="00C732F8"/>
    <w:rsid w:val="00D9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BC2F9"/>
  <w15:chartTrackingRefBased/>
  <w15:docId w15:val="{CA59AC91-402A-4247-BFC6-61265222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6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16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64D"/>
  </w:style>
  <w:style w:type="paragraph" w:styleId="Footer">
    <w:name w:val="footer"/>
    <w:basedOn w:val="Normal"/>
    <w:link w:val="FooterChar"/>
    <w:uiPriority w:val="99"/>
    <w:unhideWhenUsed/>
    <w:rsid w:val="002516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lianceformalariaprevention.com/wp-content/uploads/2021/03/AMP-Toolkit-report-2015_Chapter5_EN_LR-1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2949</Words>
  <Characters>16814</Characters>
  <Application>Microsoft Office Word</Application>
  <DocSecurity>0</DocSecurity>
  <Lines>140</Lines>
  <Paragraphs>39</Paragraphs>
  <ScaleCrop>false</ScaleCrop>
  <Company/>
  <LinksUpToDate>false</LinksUpToDate>
  <CharactersWithSpaces>19724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</dc:creator>
  <cp:keywords/>
  <dc:description/>
  <cp:lastModifiedBy>Viv Seabright</cp:lastModifiedBy>
  <cp:revision>2</cp:revision>
  <dcterms:created xsi:type="dcterms:W3CDTF">2023-08-02T07:30:00Z</dcterms:created>
  <dcterms:modified xsi:type="dcterms:W3CDTF">2023-08-02T07:30:00Z</dcterms:modified>
</cp:coreProperties>
</file>