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D168A3" w:rsidRDefault="00D168A3">
      <w:pPr>
        <w:spacing w:after="0" w:line="240" w:lineRule="auto"/>
      </w:pPr>
    </w:p>
    <w:p w14:paraId="204F1C95" w14:textId="77777777" w:rsidR="009A16DF" w:rsidRDefault="009A16DF">
      <w:pPr>
        <w:spacing w:after="0" w:line="240" w:lineRule="auto"/>
        <w:rPr>
          <w:rFonts w:ascii="Calibri" w:eastAsia="Calibri" w:hAnsi="Calibri" w:cs="Calibri"/>
          <w:b/>
        </w:rPr>
      </w:pPr>
    </w:p>
    <w:p w14:paraId="00000003" w14:textId="77777777" w:rsidR="00D168A3" w:rsidRPr="000D1A90" w:rsidRDefault="007D57ED">
      <w:pPr>
        <w:spacing w:after="0" w:line="240" w:lineRule="auto"/>
        <w:rPr>
          <w:rFonts w:ascii="Calibri" w:eastAsia="Calibri" w:hAnsi="Calibri" w:cs="Calibri"/>
          <w:b/>
          <w:sz w:val="28"/>
          <w:szCs w:val="28"/>
          <w:lang w:val="fr-FR"/>
        </w:rPr>
      </w:pPr>
      <w:r>
        <w:rPr>
          <w:rFonts w:ascii="Calibri" w:eastAsia="Calibri" w:hAnsi="Calibri" w:cs="Calibri"/>
          <w:b/>
          <w:bCs/>
          <w:sz w:val="28"/>
          <w:szCs w:val="28"/>
          <w:lang w:val="fr"/>
        </w:rPr>
        <w:t>Distribution en milieu scolaire (DMS) : Plan d’évaluation et d’atténuation des risques</w:t>
      </w:r>
    </w:p>
    <w:p w14:paraId="00000004" w14:textId="0C59C2D5" w:rsidR="00D168A3" w:rsidRPr="000D1A90" w:rsidRDefault="007D57ED">
      <w:pPr>
        <w:spacing w:after="0" w:line="240" w:lineRule="auto"/>
        <w:rPr>
          <w:rFonts w:ascii="Calibri" w:eastAsia="Calibri" w:hAnsi="Calibri" w:cs="Calibri"/>
          <w:lang w:val="fr-FR"/>
        </w:rPr>
      </w:pPr>
      <w:r>
        <w:rPr>
          <w:rFonts w:ascii="Calibri" w:eastAsia="Calibri" w:hAnsi="Calibri" w:cs="Calibri"/>
          <w:lang w:val="fr"/>
        </w:rPr>
        <w:t>V1. Mai 2025</w:t>
      </w:r>
    </w:p>
    <w:p w14:paraId="4F145506" w14:textId="77777777" w:rsidR="007D57ED" w:rsidRPr="000D1A90" w:rsidRDefault="007D57ED">
      <w:pPr>
        <w:spacing w:after="0" w:line="240" w:lineRule="auto"/>
        <w:rPr>
          <w:rFonts w:ascii="Calibri" w:eastAsia="Calibri" w:hAnsi="Calibri" w:cs="Calibri"/>
          <w:lang w:val="fr-FR"/>
        </w:rPr>
      </w:pPr>
    </w:p>
    <w:p w14:paraId="00000005" w14:textId="315CFF30" w:rsidR="00D168A3" w:rsidRPr="000D1A90" w:rsidRDefault="007D57ED">
      <w:pPr>
        <w:spacing w:after="0" w:line="240" w:lineRule="auto"/>
        <w:rPr>
          <w:rFonts w:ascii="Calibri" w:eastAsia="Calibri" w:hAnsi="Calibri" w:cs="Calibri"/>
          <w:lang w:val="fr-FR"/>
        </w:rPr>
      </w:pPr>
      <w:r>
        <w:rPr>
          <w:rFonts w:ascii="Calibri" w:hAnsi="Calibri"/>
          <w:lang w:val="fr"/>
        </w:rPr>
        <w:t xml:space="preserve">Dans le cadre de la stratégie globale de distribution permanente de moustiquaires imprégnées d’insecticide (MII), il est essentiel de procéder à une évaluation complète des risques et d’élaborer un plan d’atténuation. Ce document décrit les étapes de la distribution de MII en milieu scolaire (DMS) dans l’identification des principaux risques, de leur impact potentiel et des stratégies visant à les atténuer efficacement. </w:t>
      </w:r>
      <w:hyperlink r:id="rId8" w:history="1">
        <w:r w:rsidRPr="003827DC">
          <w:rPr>
            <w:rStyle w:val="Hyperlink"/>
            <w:rFonts w:ascii="Calibri" w:hAnsi="Calibri"/>
            <w:lang w:val="fr"/>
          </w:rPr>
          <w:t>Un outil adaptable (Excel)</w:t>
        </w:r>
      </w:hyperlink>
      <w:r>
        <w:rPr>
          <w:rFonts w:ascii="Calibri" w:hAnsi="Calibri"/>
          <w:lang w:val="fr"/>
        </w:rPr>
        <w:t xml:space="preserve">, disponible en téléchargement, accompagne ce document d’orientation. </w:t>
      </w:r>
    </w:p>
    <w:p w14:paraId="00000006" w14:textId="77777777" w:rsidR="00D168A3" w:rsidRPr="000D1A90" w:rsidRDefault="00D168A3">
      <w:pPr>
        <w:spacing w:after="0" w:line="240" w:lineRule="auto"/>
        <w:rPr>
          <w:rFonts w:ascii="Calibri" w:eastAsia="Calibri" w:hAnsi="Calibri" w:cs="Calibri"/>
          <w:lang w:val="fr-FR"/>
        </w:rPr>
      </w:pPr>
    </w:p>
    <w:p w14:paraId="00000007" w14:textId="77777777" w:rsidR="00D168A3" w:rsidRPr="000D1A90" w:rsidRDefault="007D57ED">
      <w:pPr>
        <w:widowControl w:val="0"/>
        <w:spacing w:after="0" w:line="240" w:lineRule="auto"/>
        <w:rPr>
          <w:rFonts w:ascii="Calibri" w:eastAsia="Calibri" w:hAnsi="Calibri" w:cs="Calibri"/>
          <w:b/>
          <w:sz w:val="24"/>
          <w:szCs w:val="24"/>
          <w:lang w:val="fr-FR"/>
        </w:rPr>
      </w:pPr>
      <w:r>
        <w:rPr>
          <w:rFonts w:ascii="Calibri" w:eastAsia="Calibri" w:hAnsi="Calibri" w:cs="Calibri"/>
          <w:b/>
          <w:bCs/>
          <w:sz w:val="24"/>
          <w:szCs w:val="24"/>
          <w:lang w:val="fr"/>
        </w:rPr>
        <w:t>1.</w:t>
      </w:r>
      <w:r>
        <w:rPr>
          <w:rFonts w:ascii="Calibri" w:eastAsia="Calibri" w:hAnsi="Calibri" w:cs="Calibri"/>
          <w:b/>
          <w:bCs/>
          <w:sz w:val="24"/>
          <w:szCs w:val="24"/>
          <w:lang w:val="fr"/>
        </w:rPr>
        <w:tab/>
        <w:t>Risque et distribution de MII dans les écoles</w:t>
      </w:r>
    </w:p>
    <w:p w14:paraId="00000008" w14:textId="160853C0"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 xml:space="preserve">Le risque peut être défini de multiples façons. Le manuel </w:t>
      </w:r>
      <w:hyperlink r:id="rId9">
        <w:r>
          <w:rPr>
            <w:rFonts w:ascii="Calibri" w:eastAsia="Calibri" w:hAnsi="Calibri" w:cs="Calibri"/>
            <w:color w:val="0563C1"/>
            <w:u w:val="single"/>
            <w:lang w:val="fr"/>
          </w:rPr>
          <w:t>« Formation à la gestion du risque »</w:t>
        </w:r>
      </w:hyperlink>
      <w:r>
        <w:rPr>
          <w:rFonts w:ascii="Calibri" w:eastAsia="Calibri" w:hAnsi="Calibri" w:cs="Calibri"/>
          <w:lang w:val="fr"/>
        </w:rPr>
        <w:t xml:space="preserve"> de l’UNESCO (2010) donne la définition simple suivante :</w:t>
      </w:r>
    </w:p>
    <w:p w14:paraId="00000009" w14:textId="77777777" w:rsidR="00D168A3" w:rsidRPr="000D1A90" w:rsidRDefault="00D168A3">
      <w:pPr>
        <w:widowControl w:val="0"/>
        <w:spacing w:after="0" w:line="240" w:lineRule="auto"/>
        <w:rPr>
          <w:rFonts w:ascii="Calibri" w:eastAsia="Calibri" w:hAnsi="Calibri" w:cs="Calibri"/>
          <w:lang w:val="fr-FR"/>
        </w:rPr>
      </w:pPr>
    </w:p>
    <w:p w14:paraId="0000000A" w14:textId="77777777" w:rsidR="00D168A3" w:rsidRDefault="007D57ED">
      <w:pPr>
        <w:widowControl w:val="0"/>
        <w:spacing w:after="0" w:line="240" w:lineRule="auto"/>
        <w:rPr>
          <w:rFonts w:ascii="Calibri" w:eastAsia="Calibri" w:hAnsi="Calibri" w:cs="Calibri"/>
        </w:rPr>
      </w:pPr>
      <w:r>
        <w:rPr>
          <w:rFonts w:ascii="Calibri" w:eastAsia="Calibri" w:hAnsi="Calibri" w:cs="Calibri"/>
          <w:lang w:val="fr"/>
        </w:rPr>
        <w:t>« Le risque est l’expression de la probabilité et de l’impact d’un événement incertain, soudain et extrême qui, s’il advenait, pourrait avoir un impact positif (opportunité) ou négatif (menace) sur la réalisation d’un projet ou d’un objectif de programme » (p. 12). Cela peut être résumé ainsi :</w:t>
      </w:r>
    </w:p>
    <w:p w14:paraId="0000000B" w14:textId="77777777" w:rsidR="00D168A3" w:rsidRDefault="00D168A3">
      <w:pPr>
        <w:widowControl w:val="0"/>
        <w:spacing w:after="0" w:line="240" w:lineRule="auto"/>
        <w:rPr>
          <w:rFonts w:ascii="Calibri" w:eastAsia="Calibri" w:hAnsi="Calibri" w:cs="Calibri"/>
        </w:rPr>
      </w:pPr>
    </w:p>
    <w:tbl>
      <w:tblPr>
        <w:tblStyle w:val="a3"/>
        <w:tblW w:w="6730" w:type="dxa"/>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30"/>
      </w:tblGrid>
      <w:tr w:rsidR="00D168A3" w14:paraId="0DF07937" w14:textId="77777777">
        <w:trPr>
          <w:trHeight w:val="309"/>
        </w:trPr>
        <w:tc>
          <w:tcPr>
            <w:tcW w:w="6730" w:type="dxa"/>
            <w:vAlign w:val="center"/>
          </w:tcPr>
          <w:p w14:paraId="0000000C" w14:textId="03E7FBD6" w:rsidR="00D168A3" w:rsidRDefault="007D57ED">
            <w:pPr>
              <w:spacing w:after="0" w:line="240" w:lineRule="auto"/>
              <w:rPr>
                <w:rFonts w:ascii="Calibri" w:eastAsia="Calibri" w:hAnsi="Calibri" w:cs="Calibri"/>
                <w:b/>
              </w:rPr>
            </w:pPr>
            <w:r>
              <w:rPr>
                <w:rFonts w:ascii="Calibri" w:eastAsia="Calibri" w:hAnsi="Calibri" w:cs="Calibri"/>
                <w:b/>
                <w:bCs/>
                <w:lang w:val="fr"/>
              </w:rPr>
              <w:t>Risque = Probabilité x Impact</w:t>
            </w:r>
          </w:p>
        </w:tc>
      </w:tr>
    </w:tbl>
    <w:p w14:paraId="0000000D" w14:textId="77777777" w:rsidR="00D168A3" w:rsidRDefault="00D168A3">
      <w:pPr>
        <w:widowControl w:val="0"/>
        <w:spacing w:after="0" w:line="240" w:lineRule="auto"/>
        <w:rPr>
          <w:rFonts w:ascii="Calibri" w:eastAsia="Calibri" w:hAnsi="Calibri" w:cs="Calibri"/>
        </w:rPr>
      </w:pPr>
    </w:p>
    <w:p w14:paraId="0000000E" w14:textId="5881BB80" w:rsidR="00D168A3" w:rsidRDefault="007D57ED">
      <w:pPr>
        <w:widowControl w:val="0"/>
        <w:spacing w:after="0" w:line="240" w:lineRule="auto"/>
        <w:rPr>
          <w:rFonts w:ascii="Calibri" w:eastAsia="Calibri" w:hAnsi="Calibri" w:cs="Calibri"/>
          <w:b/>
        </w:rPr>
      </w:pPr>
      <w:r>
        <w:rPr>
          <w:rFonts w:ascii="Calibri" w:eastAsia="Calibri" w:hAnsi="Calibri" w:cs="Calibri"/>
          <w:b/>
          <w:bCs/>
          <w:lang w:val="fr"/>
        </w:rPr>
        <w:t>Pourquoi gérer les risques ?</w:t>
      </w:r>
    </w:p>
    <w:p w14:paraId="0000000F"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 xml:space="preserve">Le présent document met l’accent sur les impacts négatifs, ou menaces, posés par les risques identifiables. L’objectif de l’identification et de l’analyse des risques est de préparer activement l’atténuation des risques, dans le but de réduire les effets négatifs en prenant des mesures pour diminuer la probabilité qu’un événement à risque se produise, et/ou pour réduire l’impact s’il se produit. Par exemple, l’atténuation des risques peut contribuer à minimiser les impacts négatifs potentiels sur les différents aspects interdépendants de la distribution des MII, tels que le mauvais état des routes entraînant des retards de transport et de livraison, ou l’exclusion des écoles secondaires de la population cible. L’identification précoce de ces risques et l’élaboration de mesures d’atténuation dès le début de la planification de la DMS sont essentielles pour une mise en œuvre réussie. </w:t>
      </w:r>
    </w:p>
    <w:p w14:paraId="00000010" w14:textId="77777777" w:rsidR="00D168A3" w:rsidRPr="000D1A90" w:rsidRDefault="00D168A3">
      <w:pPr>
        <w:widowControl w:val="0"/>
        <w:spacing w:after="0" w:line="240" w:lineRule="auto"/>
        <w:rPr>
          <w:rFonts w:ascii="Calibri" w:eastAsia="Calibri" w:hAnsi="Calibri" w:cs="Calibri"/>
          <w:lang w:val="fr-FR"/>
        </w:rPr>
      </w:pPr>
    </w:p>
    <w:p w14:paraId="00000011" w14:textId="0C58242C"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Le tableau 1 ci-dessous présente quelques grandes catégories de risques à prendre en considération, ainsi que des exemples spécifiques :</w:t>
      </w:r>
    </w:p>
    <w:p w14:paraId="00000012" w14:textId="064FFDD1" w:rsidR="00D168A3" w:rsidRPr="000D1A90" w:rsidRDefault="00D168A3">
      <w:pPr>
        <w:spacing w:after="0" w:line="240" w:lineRule="auto"/>
        <w:rPr>
          <w:rFonts w:ascii="Calibri" w:eastAsia="Calibri" w:hAnsi="Calibri" w:cs="Calibri"/>
          <w:lang w:val="fr-FR"/>
        </w:rPr>
      </w:pPr>
    </w:p>
    <w:p w14:paraId="00000013" w14:textId="4D495BC6" w:rsidR="00D168A3" w:rsidRDefault="007D57ED">
      <w:pPr>
        <w:widowControl w:val="0"/>
        <w:spacing w:after="0" w:line="240" w:lineRule="auto"/>
        <w:rPr>
          <w:rFonts w:ascii="Calibri" w:eastAsia="Calibri" w:hAnsi="Calibri" w:cs="Calibri"/>
        </w:rPr>
      </w:pPr>
      <w:r>
        <w:rPr>
          <w:rFonts w:ascii="Calibri" w:eastAsia="Calibri" w:hAnsi="Calibri" w:cs="Calibri"/>
          <w:i/>
          <w:iCs/>
          <w:sz w:val="18"/>
          <w:szCs w:val="18"/>
          <w:lang w:val="fr"/>
        </w:rPr>
        <w:t>Tableau 1 : Catégories de risques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6521"/>
      </w:tblGrid>
      <w:tr w:rsidR="00D168A3" w:rsidRPr="00DF4E36" w14:paraId="106CC0B0" w14:textId="77777777">
        <w:tc>
          <w:tcPr>
            <w:tcW w:w="2829" w:type="dxa"/>
            <w:shd w:val="clear" w:color="auto" w:fill="auto"/>
          </w:tcPr>
          <w:p w14:paraId="00000014"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fr"/>
              </w:rPr>
              <w:t>Catégorie</w:t>
            </w:r>
          </w:p>
        </w:tc>
        <w:tc>
          <w:tcPr>
            <w:tcW w:w="6521" w:type="dxa"/>
            <w:shd w:val="clear" w:color="auto" w:fill="auto"/>
          </w:tcPr>
          <w:p w14:paraId="00000015"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fr"/>
              </w:rPr>
              <w:t>Exemples</w:t>
            </w:r>
          </w:p>
        </w:tc>
      </w:tr>
      <w:tr w:rsidR="00D168A3" w:rsidRPr="003827DC" w14:paraId="7160BA2D" w14:textId="77777777">
        <w:trPr>
          <w:trHeight w:val="884"/>
        </w:trPr>
        <w:tc>
          <w:tcPr>
            <w:tcW w:w="2829" w:type="dxa"/>
            <w:shd w:val="clear" w:color="auto" w:fill="auto"/>
          </w:tcPr>
          <w:p w14:paraId="00000016"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Facteurs stratégiques :</w:t>
            </w:r>
          </w:p>
          <w:p w14:paraId="00000017"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 xml:space="preserve">Risques qui affectent l’ensemble de la stratégie prévue pour la campagne </w:t>
            </w:r>
          </w:p>
        </w:tc>
        <w:tc>
          <w:tcPr>
            <w:tcW w:w="6521" w:type="dxa"/>
            <w:shd w:val="clear" w:color="auto" w:fill="auto"/>
          </w:tcPr>
          <w:p w14:paraId="00000018" w14:textId="2AA4AA0B"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Intensifier la DMS avec un nombre limité de partenaires compétents pour soutenir l’expansion.</w:t>
            </w:r>
          </w:p>
          <w:p w14:paraId="00000019" w14:textId="2C707351"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Décalage avec le calendrier scolaire (par exemple, DMS planifiée pendant les examens).</w:t>
            </w:r>
          </w:p>
        </w:tc>
      </w:tr>
      <w:tr w:rsidR="00D168A3" w:rsidRPr="003827DC" w14:paraId="230D261E" w14:textId="77777777">
        <w:tc>
          <w:tcPr>
            <w:tcW w:w="2829" w:type="dxa"/>
            <w:shd w:val="clear" w:color="auto" w:fill="auto"/>
          </w:tcPr>
          <w:p w14:paraId="0000001A"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Facteurs opérationnels :</w:t>
            </w:r>
          </w:p>
          <w:p w14:paraId="0000001B"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 xml:space="preserve">Risques qui affectent, en partie ou en totalité, la capacité à mettre en œuvre </w:t>
            </w:r>
            <w:r>
              <w:rPr>
                <w:rFonts w:ascii="Calibri" w:eastAsia="Calibri" w:hAnsi="Calibri" w:cs="Calibri"/>
                <w:lang w:val="fr"/>
              </w:rPr>
              <w:lastRenderedPageBreak/>
              <w:t>l’opération telle qu’elle a été planifiée</w:t>
            </w:r>
          </w:p>
        </w:tc>
        <w:tc>
          <w:tcPr>
            <w:tcW w:w="6521" w:type="dxa"/>
            <w:shd w:val="clear" w:color="auto" w:fill="auto"/>
          </w:tcPr>
          <w:p w14:paraId="0000001C"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lastRenderedPageBreak/>
              <w:t>Couverture budgétaire insuffisante pour tous les aspects opérationnels.</w:t>
            </w:r>
          </w:p>
          <w:p w14:paraId="0000001D"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Stockage, transport ou personnel inadéquats pour exécuter le plan efficacement.</w:t>
            </w:r>
          </w:p>
          <w:p w14:paraId="0000001E"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lastRenderedPageBreak/>
              <w:t>Attentes irréalistes en matière de capacité opérationnelle, entraînant des retards et des échecs.</w:t>
            </w:r>
          </w:p>
          <w:p w14:paraId="0000001F" w14:textId="497DEA45"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Changement dans le contexte de la zone desservie, par exemple, insécurité, catastrophe naturelle ou causée par l’homme.</w:t>
            </w:r>
          </w:p>
        </w:tc>
      </w:tr>
      <w:tr w:rsidR="00D168A3" w:rsidRPr="003827DC" w14:paraId="366E9262" w14:textId="77777777">
        <w:tc>
          <w:tcPr>
            <w:tcW w:w="2829" w:type="dxa"/>
            <w:shd w:val="clear" w:color="auto" w:fill="auto"/>
          </w:tcPr>
          <w:p w14:paraId="00000020"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lastRenderedPageBreak/>
              <w:t>Facteurs financiers :</w:t>
            </w:r>
          </w:p>
          <w:p w14:paraId="00000021"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Risques liés au budget et au financement</w:t>
            </w:r>
          </w:p>
        </w:tc>
        <w:tc>
          <w:tcPr>
            <w:tcW w:w="6521" w:type="dxa"/>
            <w:shd w:val="clear" w:color="auto" w:fill="auto"/>
          </w:tcPr>
          <w:p w14:paraId="00000022"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Budgets sous-estimés qui ne reflètent pas les coûts réels.</w:t>
            </w:r>
          </w:p>
          <w:p w14:paraId="00000023"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 xml:space="preserve">Retards dans la réception du financement, entraînant des retards dans l’acquisition. </w:t>
            </w:r>
          </w:p>
          <w:p w14:paraId="00000024"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Fluctuations des taux de change affectant les coûts.</w:t>
            </w:r>
          </w:p>
          <w:p w14:paraId="00000025" w14:textId="3B8A1EAD"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Retards dans le dédouanement entraînant des surestaries.</w:t>
            </w:r>
          </w:p>
          <w:p w14:paraId="00000026"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 xml:space="preserve">Augmentation des coûts de stockage en raison des retards dans la mise en œuvre de la campagne. </w:t>
            </w:r>
          </w:p>
          <w:p w14:paraId="00000027"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 xml:space="preserve">Sécurité insuffisante des entrepôts, entraînant le vol ou la perte de MII. </w:t>
            </w:r>
          </w:p>
          <w:p w14:paraId="00000028" w14:textId="286D21E6"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Mauvaise tenue des registres, entraînant des problèmes de responsabilité.</w:t>
            </w:r>
          </w:p>
          <w:p w14:paraId="00000029"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Mauvaise gestion et gaspillage des ressources disponibles.</w:t>
            </w:r>
          </w:p>
        </w:tc>
      </w:tr>
      <w:tr w:rsidR="00D168A3" w:rsidRPr="003827DC" w14:paraId="4AF289D9" w14:textId="77777777">
        <w:tc>
          <w:tcPr>
            <w:tcW w:w="2829" w:type="dxa"/>
            <w:shd w:val="clear" w:color="auto" w:fill="auto"/>
          </w:tcPr>
          <w:p w14:paraId="0000002A"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Risque de conformité :</w:t>
            </w:r>
          </w:p>
          <w:p w14:paraId="0000002B"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Risques liés aux sanctions juridiques en cas d’actions non conformes aux lois, aux règlements ou aux politiques internes.</w:t>
            </w:r>
          </w:p>
        </w:tc>
        <w:tc>
          <w:tcPr>
            <w:tcW w:w="6521" w:type="dxa"/>
            <w:shd w:val="clear" w:color="auto" w:fill="auto"/>
          </w:tcPr>
          <w:p w14:paraId="0000002C"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Processus de décaissement et de justification financière inappropriés.</w:t>
            </w:r>
          </w:p>
          <w:p w14:paraId="0000002D"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 xml:space="preserve">Utilisation de modèles de contrats ou de procédures d’acquisition incorrects. </w:t>
            </w:r>
          </w:p>
          <w:p w14:paraId="0000002E"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Non-respect des procédures légales d’acquisition pour l’approvisionnement local ou international.</w:t>
            </w:r>
          </w:p>
        </w:tc>
      </w:tr>
    </w:tbl>
    <w:p w14:paraId="0000002F" w14:textId="77777777" w:rsidR="00D168A3" w:rsidRPr="000D1A90" w:rsidRDefault="00D168A3">
      <w:pPr>
        <w:widowControl w:val="0"/>
        <w:spacing w:after="0" w:line="240" w:lineRule="auto"/>
        <w:rPr>
          <w:rFonts w:ascii="Calibri" w:eastAsia="Calibri" w:hAnsi="Calibri" w:cs="Calibri"/>
          <w:lang w:val="fr-FR"/>
        </w:rPr>
      </w:pPr>
    </w:p>
    <w:p w14:paraId="00000030" w14:textId="004ABC9E"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b/>
          <w:bCs/>
          <w:lang w:val="fr"/>
        </w:rPr>
        <w:t>Remarque</w:t>
      </w:r>
      <w:r>
        <w:rPr>
          <w:rFonts w:ascii="Calibri" w:eastAsia="Calibri" w:hAnsi="Calibri" w:cs="Calibri"/>
          <w:lang w:val="fr"/>
        </w:rPr>
        <w:t> : Certains risques peuvent relever de plusieurs catégories. Les pays peuvent également ajouter d’autres catégories en fonction du contexte. Par exemple, le risque de vol ou de détournement de MII avant la distribution peut être classé comme « de réputation » lorsque le risque peut entraîner une atteinte à la réputation de certains partenaires, en plus du résultat opérationnel de la diminution du nombre de MII à distribuer (en supposant que les MII perdues ne soient pas récupérées).</w:t>
      </w:r>
    </w:p>
    <w:p w14:paraId="00000031" w14:textId="77777777" w:rsidR="00D168A3" w:rsidRPr="000D1A90" w:rsidRDefault="00D168A3">
      <w:pPr>
        <w:widowControl w:val="0"/>
        <w:spacing w:after="0" w:line="240" w:lineRule="auto"/>
        <w:rPr>
          <w:rFonts w:ascii="Calibri" w:eastAsia="Calibri" w:hAnsi="Calibri" w:cs="Calibri"/>
          <w:lang w:val="fr-FR"/>
        </w:rPr>
      </w:pPr>
    </w:p>
    <w:p w14:paraId="00000032" w14:textId="314E3256" w:rsidR="00D168A3" w:rsidRPr="000D1A90" w:rsidRDefault="007D57ED">
      <w:pPr>
        <w:spacing w:after="0" w:line="240" w:lineRule="auto"/>
        <w:rPr>
          <w:rFonts w:ascii="Calibri" w:eastAsia="Calibri" w:hAnsi="Calibri" w:cs="Calibri"/>
          <w:b/>
          <w:lang w:val="fr-FR"/>
        </w:rPr>
      </w:pPr>
      <w:r>
        <w:rPr>
          <w:rFonts w:ascii="Calibri" w:eastAsia="Calibri" w:hAnsi="Calibri" w:cs="Calibri"/>
          <w:b/>
          <w:bCs/>
          <w:lang w:val="fr"/>
        </w:rPr>
        <w:t>Composantes du risque : probabilité et impact</w:t>
      </w:r>
    </w:p>
    <w:p w14:paraId="00000033" w14:textId="4E32B68A" w:rsidR="00D168A3" w:rsidRPr="000D1A90" w:rsidRDefault="007D57ED">
      <w:pPr>
        <w:spacing w:after="0" w:line="240" w:lineRule="auto"/>
        <w:rPr>
          <w:rFonts w:ascii="Calibri" w:eastAsia="Calibri" w:hAnsi="Calibri" w:cs="Calibri"/>
          <w:lang w:val="fr-FR"/>
        </w:rPr>
      </w:pPr>
      <w:r>
        <w:rPr>
          <w:rFonts w:ascii="Calibri" w:eastAsia="Calibri" w:hAnsi="Calibri" w:cs="Calibri"/>
          <w:lang w:val="fr"/>
        </w:rPr>
        <w:t>Pour chaque risque identifié, deux éléments importants doivent être évalués :</w:t>
      </w:r>
    </w:p>
    <w:p w14:paraId="00000034" w14:textId="0A91AE5E" w:rsidR="00D168A3" w:rsidRPr="000D1A90" w:rsidRDefault="007D57ED">
      <w:pPr>
        <w:numPr>
          <w:ilvl w:val="0"/>
          <w:numId w:val="2"/>
        </w:numPr>
        <w:pBdr>
          <w:top w:val="nil"/>
          <w:left w:val="nil"/>
          <w:bottom w:val="nil"/>
          <w:right w:val="nil"/>
          <w:between w:val="nil"/>
        </w:pBdr>
        <w:spacing w:after="0" w:line="240" w:lineRule="auto"/>
        <w:rPr>
          <w:rFonts w:ascii="Calibri" w:eastAsia="Calibri" w:hAnsi="Calibri" w:cs="Calibri"/>
          <w:color w:val="000000"/>
          <w:lang w:val="fr-FR"/>
        </w:rPr>
      </w:pPr>
      <w:r>
        <w:rPr>
          <w:rFonts w:ascii="Calibri" w:eastAsia="Calibri" w:hAnsi="Calibri" w:cs="Calibri"/>
          <w:color w:val="000000"/>
          <w:lang w:val="fr"/>
        </w:rPr>
        <w:t>Probabilité : la probabilité que le risque se produise</w:t>
      </w:r>
    </w:p>
    <w:p w14:paraId="00000035" w14:textId="77777777" w:rsidR="00D168A3" w:rsidRPr="000D1A90" w:rsidRDefault="007D57ED">
      <w:pPr>
        <w:numPr>
          <w:ilvl w:val="0"/>
          <w:numId w:val="2"/>
        </w:numPr>
        <w:pBdr>
          <w:top w:val="nil"/>
          <w:left w:val="nil"/>
          <w:bottom w:val="nil"/>
          <w:right w:val="nil"/>
          <w:between w:val="nil"/>
        </w:pBdr>
        <w:spacing w:after="0" w:line="240" w:lineRule="auto"/>
        <w:rPr>
          <w:rFonts w:ascii="Calibri" w:eastAsia="Calibri" w:hAnsi="Calibri" w:cs="Calibri"/>
          <w:color w:val="000000"/>
          <w:lang w:val="fr-FR"/>
        </w:rPr>
      </w:pPr>
      <w:r>
        <w:rPr>
          <w:rFonts w:ascii="Calibri" w:eastAsia="Calibri" w:hAnsi="Calibri" w:cs="Calibri"/>
          <w:color w:val="000000"/>
          <w:lang w:val="fr"/>
        </w:rPr>
        <w:t>Impact : la gravité des conséquences en cas de réalisation du risque</w:t>
      </w:r>
    </w:p>
    <w:p w14:paraId="00000036" w14:textId="77777777" w:rsidR="00D168A3" w:rsidRPr="000D1A90" w:rsidRDefault="00D168A3">
      <w:pPr>
        <w:pBdr>
          <w:top w:val="nil"/>
          <w:left w:val="nil"/>
          <w:bottom w:val="nil"/>
          <w:right w:val="nil"/>
          <w:between w:val="nil"/>
        </w:pBdr>
        <w:spacing w:after="0" w:line="240" w:lineRule="auto"/>
        <w:rPr>
          <w:rFonts w:ascii="Calibri" w:eastAsia="Calibri" w:hAnsi="Calibri" w:cs="Calibri"/>
          <w:color w:val="000000"/>
          <w:lang w:val="fr-FR"/>
        </w:rPr>
      </w:pPr>
    </w:p>
    <w:p w14:paraId="00000037" w14:textId="11DB1309" w:rsidR="00D168A3" w:rsidRPr="000D1A90" w:rsidRDefault="007D57ED">
      <w:pPr>
        <w:pBdr>
          <w:top w:val="nil"/>
          <w:left w:val="nil"/>
          <w:bottom w:val="nil"/>
          <w:right w:val="nil"/>
          <w:between w:val="nil"/>
        </w:pBdr>
        <w:spacing w:after="0" w:line="240" w:lineRule="auto"/>
        <w:rPr>
          <w:rFonts w:ascii="Calibri" w:eastAsia="Calibri" w:hAnsi="Calibri" w:cs="Calibri"/>
          <w:color w:val="000000"/>
          <w:lang w:val="fr-FR"/>
        </w:rPr>
      </w:pPr>
      <w:r>
        <w:rPr>
          <w:rFonts w:ascii="Calibri" w:eastAsia="Calibri" w:hAnsi="Calibri" w:cs="Calibri"/>
          <w:color w:val="000000"/>
          <w:lang w:val="fr"/>
        </w:rPr>
        <w:t>La manière la plus courante de classer ou d’évaluer la probabilité et l’impact est d’utiliser une « carte thermique », comme suit :</w:t>
      </w:r>
    </w:p>
    <w:p w14:paraId="00000038" w14:textId="77777777" w:rsidR="00D168A3" w:rsidRPr="000D1A90" w:rsidRDefault="00D168A3">
      <w:pPr>
        <w:pBdr>
          <w:top w:val="nil"/>
          <w:left w:val="nil"/>
          <w:bottom w:val="nil"/>
          <w:right w:val="nil"/>
          <w:between w:val="nil"/>
        </w:pBdr>
        <w:spacing w:after="0" w:line="240" w:lineRule="auto"/>
        <w:rPr>
          <w:rFonts w:ascii="Calibri" w:eastAsia="Calibri" w:hAnsi="Calibri" w:cs="Calibri"/>
          <w:color w:val="000000"/>
          <w:lang w:val="fr-FR"/>
        </w:rPr>
      </w:pPr>
    </w:p>
    <w:p w14:paraId="00000039" w14:textId="77777777" w:rsidR="00D168A3" w:rsidRDefault="007D57ED">
      <w:pPr>
        <w:pBdr>
          <w:top w:val="nil"/>
          <w:left w:val="nil"/>
          <w:bottom w:val="nil"/>
          <w:right w:val="nil"/>
          <w:between w:val="nil"/>
        </w:pBdr>
        <w:spacing w:after="0" w:line="240" w:lineRule="auto"/>
        <w:rPr>
          <w:rFonts w:ascii="Calibri" w:eastAsia="Calibri" w:hAnsi="Calibri" w:cs="Calibri"/>
          <w:b/>
          <w:i/>
          <w:color w:val="000000"/>
        </w:rPr>
      </w:pPr>
      <w:r>
        <w:rPr>
          <w:rFonts w:ascii="Calibri" w:eastAsia="Calibri" w:hAnsi="Calibri" w:cs="Calibri"/>
          <w:b/>
          <w:bCs/>
          <w:i/>
          <w:iCs/>
          <w:color w:val="000000"/>
          <w:lang w:val="fr"/>
        </w:rPr>
        <w:t>Carte thermique</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D168A3" w14:paraId="00B94B6B" w14:textId="77777777">
        <w:tc>
          <w:tcPr>
            <w:tcW w:w="1870" w:type="dxa"/>
          </w:tcPr>
          <w:p w14:paraId="0000003A" w14:textId="77777777" w:rsidR="00D168A3" w:rsidRDefault="00D168A3">
            <w:pPr>
              <w:rPr>
                <w:rFonts w:ascii="Calibri" w:eastAsia="Calibri" w:hAnsi="Calibri" w:cs="Calibri"/>
                <w:color w:val="000000"/>
              </w:rPr>
            </w:pPr>
          </w:p>
        </w:tc>
        <w:tc>
          <w:tcPr>
            <w:tcW w:w="7480" w:type="dxa"/>
            <w:gridSpan w:val="4"/>
          </w:tcPr>
          <w:p w14:paraId="0000003B" w14:textId="77777777" w:rsidR="00D168A3" w:rsidRDefault="007D57ED">
            <w:pPr>
              <w:jc w:val="center"/>
              <w:rPr>
                <w:rFonts w:ascii="Calibri" w:eastAsia="Calibri" w:hAnsi="Calibri" w:cs="Calibri"/>
                <w:color w:val="000000"/>
              </w:rPr>
            </w:pPr>
            <w:r>
              <w:rPr>
                <w:rFonts w:ascii="Calibri" w:eastAsia="Calibri" w:hAnsi="Calibri" w:cs="Calibri"/>
                <w:color w:val="000000"/>
                <w:lang w:val="fr"/>
              </w:rPr>
              <w:t>Impact</w:t>
            </w:r>
          </w:p>
        </w:tc>
      </w:tr>
      <w:tr w:rsidR="00D168A3" w14:paraId="5F8EEAB6" w14:textId="77777777">
        <w:tc>
          <w:tcPr>
            <w:tcW w:w="1870" w:type="dxa"/>
          </w:tcPr>
          <w:p w14:paraId="0000003F" w14:textId="77777777" w:rsidR="00D168A3" w:rsidRDefault="007D57ED">
            <w:pPr>
              <w:rPr>
                <w:rFonts w:ascii="Calibri" w:eastAsia="Calibri" w:hAnsi="Calibri" w:cs="Calibri"/>
                <w:color w:val="000000"/>
              </w:rPr>
            </w:pPr>
            <w:r>
              <w:rPr>
                <w:rFonts w:ascii="Calibri" w:eastAsia="Calibri" w:hAnsi="Calibri" w:cs="Calibri"/>
                <w:color w:val="000000"/>
                <w:lang w:val="fr"/>
              </w:rPr>
              <w:t>Probabilité</w:t>
            </w:r>
          </w:p>
        </w:tc>
        <w:tc>
          <w:tcPr>
            <w:tcW w:w="1870" w:type="dxa"/>
          </w:tcPr>
          <w:p w14:paraId="00000040" w14:textId="77777777" w:rsidR="00D168A3" w:rsidRDefault="007D57ED">
            <w:pPr>
              <w:rPr>
                <w:rFonts w:ascii="Calibri" w:eastAsia="Calibri" w:hAnsi="Calibri" w:cs="Calibri"/>
                <w:color w:val="000000"/>
              </w:rPr>
            </w:pPr>
            <w:r>
              <w:rPr>
                <w:rFonts w:ascii="Calibri" w:eastAsia="Calibri" w:hAnsi="Calibri" w:cs="Calibri"/>
                <w:color w:val="000000"/>
                <w:lang w:val="fr"/>
              </w:rPr>
              <w:t>1 Négligeable</w:t>
            </w:r>
          </w:p>
        </w:tc>
        <w:tc>
          <w:tcPr>
            <w:tcW w:w="1870" w:type="dxa"/>
          </w:tcPr>
          <w:p w14:paraId="00000041" w14:textId="77777777" w:rsidR="00D168A3" w:rsidRDefault="007D57ED">
            <w:pPr>
              <w:rPr>
                <w:rFonts w:ascii="Calibri" w:eastAsia="Calibri" w:hAnsi="Calibri" w:cs="Calibri"/>
                <w:color w:val="000000"/>
              </w:rPr>
            </w:pPr>
            <w:r>
              <w:rPr>
                <w:rFonts w:ascii="Calibri" w:eastAsia="Calibri" w:hAnsi="Calibri" w:cs="Calibri"/>
                <w:color w:val="000000"/>
                <w:lang w:val="fr"/>
              </w:rPr>
              <w:t>2 Insignifiant</w:t>
            </w:r>
          </w:p>
        </w:tc>
        <w:tc>
          <w:tcPr>
            <w:tcW w:w="1870" w:type="dxa"/>
          </w:tcPr>
          <w:p w14:paraId="00000042" w14:textId="77777777" w:rsidR="00D168A3" w:rsidRDefault="007D57ED">
            <w:pPr>
              <w:rPr>
                <w:rFonts w:ascii="Calibri" w:eastAsia="Calibri" w:hAnsi="Calibri" w:cs="Calibri"/>
                <w:color w:val="000000"/>
              </w:rPr>
            </w:pPr>
            <w:r>
              <w:rPr>
                <w:rFonts w:ascii="Calibri" w:eastAsia="Calibri" w:hAnsi="Calibri" w:cs="Calibri"/>
                <w:color w:val="000000"/>
                <w:lang w:val="fr"/>
              </w:rPr>
              <w:t>3 Modéré</w:t>
            </w:r>
          </w:p>
        </w:tc>
        <w:tc>
          <w:tcPr>
            <w:tcW w:w="1870" w:type="dxa"/>
          </w:tcPr>
          <w:p w14:paraId="00000043" w14:textId="77777777" w:rsidR="00D168A3" w:rsidRDefault="007D57ED">
            <w:pPr>
              <w:rPr>
                <w:rFonts w:ascii="Calibri" w:eastAsia="Calibri" w:hAnsi="Calibri" w:cs="Calibri"/>
                <w:color w:val="000000"/>
              </w:rPr>
            </w:pPr>
            <w:r>
              <w:rPr>
                <w:rFonts w:ascii="Calibri" w:eastAsia="Calibri" w:hAnsi="Calibri" w:cs="Calibri"/>
                <w:color w:val="000000"/>
                <w:lang w:val="fr"/>
              </w:rPr>
              <w:t>4 Important</w:t>
            </w:r>
          </w:p>
        </w:tc>
      </w:tr>
      <w:tr w:rsidR="00D168A3" w14:paraId="08CF33B8" w14:textId="77777777">
        <w:tc>
          <w:tcPr>
            <w:tcW w:w="1870" w:type="dxa"/>
          </w:tcPr>
          <w:p w14:paraId="00000044" w14:textId="77777777" w:rsidR="00D168A3" w:rsidRDefault="007D57ED">
            <w:pPr>
              <w:rPr>
                <w:rFonts w:ascii="Calibri" w:eastAsia="Calibri" w:hAnsi="Calibri" w:cs="Calibri"/>
                <w:color w:val="000000"/>
              </w:rPr>
            </w:pPr>
            <w:r>
              <w:rPr>
                <w:rFonts w:ascii="Calibri" w:eastAsia="Calibri" w:hAnsi="Calibri" w:cs="Calibri"/>
                <w:color w:val="000000"/>
                <w:lang w:val="fr"/>
              </w:rPr>
              <w:t>1 Peu probable</w:t>
            </w:r>
          </w:p>
        </w:tc>
        <w:tc>
          <w:tcPr>
            <w:tcW w:w="1870" w:type="dxa"/>
            <w:shd w:val="clear" w:color="auto" w:fill="92D050"/>
          </w:tcPr>
          <w:p w14:paraId="00000045" w14:textId="77777777" w:rsidR="00D168A3" w:rsidRDefault="00D168A3">
            <w:pPr>
              <w:rPr>
                <w:rFonts w:ascii="Calibri" w:eastAsia="Calibri" w:hAnsi="Calibri" w:cs="Calibri"/>
                <w:color w:val="000000"/>
              </w:rPr>
            </w:pPr>
          </w:p>
        </w:tc>
        <w:tc>
          <w:tcPr>
            <w:tcW w:w="1870" w:type="dxa"/>
            <w:shd w:val="clear" w:color="auto" w:fill="92D050"/>
          </w:tcPr>
          <w:p w14:paraId="00000046" w14:textId="77777777" w:rsidR="00D168A3" w:rsidRDefault="00D168A3">
            <w:pPr>
              <w:rPr>
                <w:rFonts w:ascii="Calibri" w:eastAsia="Calibri" w:hAnsi="Calibri" w:cs="Calibri"/>
                <w:color w:val="000000"/>
              </w:rPr>
            </w:pPr>
          </w:p>
        </w:tc>
        <w:tc>
          <w:tcPr>
            <w:tcW w:w="1870" w:type="dxa"/>
            <w:shd w:val="clear" w:color="auto" w:fill="FFFF00"/>
          </w:tcPr>
          <w:p w14:paraId="00000047" w14:textId="77777777" w:rsidR="00D168A3" w:rsidRDefault="00D168A3">
            <w:pPr>
              <w:rPr>
                <w:rFonts w:ascii="Calibri" w:eastAsia="Calibri" w:hAnsi="Calibri" w:cs="Calibri"/>
                <w:color w:val="000000"/>
              </w:rPr>
            </w:pPr>
          </w:p>
        </w:tc>
        <w:tc>
          <w:tcPr>
            <w:tcW w:w="1870" w:type="dxa"/>
            <w:shd w:val="clear" w:color="auto" w:fill="FFFF00"/>
          </w:tcPr>
          <w:p w14:paraId="00000048" w14:textId="77777777" w:rsidR="00D168A3" w:rsidRDefault="00D168A3">
            <w:pPr>
              <w:rPr>
                <w:rFonts w:ascii="Calibri" w:eastAsia="Calibri" w:hAnsi="Calibri" w:cs="Calibri"/>
                <w:color w:val="000000"/>
              </w:rPr>
            </w:pPr>
          </w:p>
        </w:tc>
      </w:tr>
      <w:tr w:rsidR="00D168A3" w14:paraId="0FFFD27E" w14:textId="77777777">
        <w:tc>
          <w:tcPr>
            <w:tcW w:w="1870" w:type="dxa"/>
          </w:tcPr>
          <w:p w14:paraId="00000049" w14:textId="77777777" w:rsidR="00D168A3" w:rsidRDefault="007D57ED">
            <w:pPr>
              <w:rPr>
                <w:rFonts w:ascii="Calibri" w:eastAsia="Calibri" w:hAnsi="Calibri" w:cs="Calibri"/>
                <w:color w:val="000000"/>
              </w:rPr>
            </w:pPr>
            <w:r>
              <w:rPr>
                <w:rFonts w:ascii="Calibri" w:eastAsia="Calibri" w:hAnsi="Calibri" w:cs="Calibri"/>
                <w:color w:val="000000"/>
                <w:lang w:val="fr"/>
              </w:rPr>
              <w:t>2 Possible</w:t>
            </w:r>
          </w:p>
        </w:tc>
        <w:tc>
          <w:tcPr>
            <w:tcW w:w="1870" w:type="dxa"/>
            <w:shd w:val="clear" w:color="auto" w:fill="92D050"/>
          </w:tcPr>
          <w:p w14:paraId="0000004A" w14:textId="77777777" w:rsidR="00D168A3" w:rsidRDefault="00D168A3">
            <w:pPr>
              <w:rPr>
                <w:rFonts w:ascii="Calibri" w:eastAsia="Calibri" w:hAnsi="Calibri" w:cs="Calibri"/>
                <w:color w:val="000000"/>
              </w:rPr>
            </w:pPr>
          </w:p>
        </w:tc>
        <w:tc>
          <w:tcPr>
            <w:tcW w:w="1870" w:type="dxa"/>
            <w:shd w:val="clear" w:color="auto" w:fill="FFFF00"/>
          </w:tcPr>
          <w:p w14:paraId="0000004B" w14:textId="77777777" w:rsidR="00D168A3" w:rsidRDefault="00D168A3">
            <w:pPr>
              <w:rPr>
                <w:rFonts w:ascii="Calibri" w:eastAsia="Calibri" w:hAnsi="Calibri" w:cs="Calibri"/>
                <w:color w:val="000000"/>
              </w:rPr>
            </w:pPr>
          </w:p>
        </w:tc>
        <w:tc>
          <w:tcPr>
            <w:tcW w:w="1870" w:type="dxa"/>
            <w:shd w:val="clear" w:color="auto" w:fill="FFFF00"/>
          </w:tcPr>
          <w:p w14:paraId="0000004C" w14:textId="77777777" w:rsidR="00D168A3" w:rsidRDefault="00D168A3">
            <w:pPr>
              <w:rPr>
                <w:rFonts w:ascii="Calibri" w:eastAsia="Calibri" w:hAnsi="Calibri" w:cs="Calibri"/>
                <w:color w:val="000000"/>
              </w:rPr>
            </w:pPr>
          </w:p>
        </w:tc>
        <w:tc>
          <w:tcPr>
            <w:tcW w:w="1870" w:type="dxa"/>
            <w:shd w:val="clear" w:color="auto" w:fill="FFC000"/>
          </w:tcPr>
          <w:p w14:paraId="0000004D" w14:textId="77777777" w:rsidR="00D168A3" w:rsidRDefault="00D168A3">
            <w:pPr>
              <w:rPr>
                <w:rFonts w:ascii="Calibri" w:eastAsia="Calibri" w:hAnsi="Calibri" w:cs="Calibri"/>
                <w:color w:val="000000"/>
              </w:rPr>
            </w:pPr>
          </w:p>
        </w:tc>
      </w:tr>
      <w:tr w:rsidR="00D168A3" w14:paraId="643AEB89" w14:textId="77777777">
        <w:tc>
          <w:tcPr>
            <w:tcW w:w="1870" w:type="dxa"/>
          </w:tcPr>
          <w:p w14:paraId="0000004E" w14:textId="77777777" w:rsidR="00D168A3" w:rsidRDefault="007D57ED">
            <w:pPr>
              <w:rPr>
                <w:rFonts w:ascii="Calibri" w:eastAsia="Calibri" w:hAnsi="Calibri" w:cs="Calibri"/>
                <w:color w:val="000000"/>
              </w:rPr>
            </w:pPr>
            <w:r>
              <w:rPr>
                <w:rFonts w:ascii="Calibri" w:eastAsia="Calibri" w:hAnsi="Calibri" w:cs="Calibri"/>
                <w:color w:val="000000"/>
                <w:lang w:val="fr"/>
              </w:rPr>
              <w:t>3 Probable</w:t>
            </w:r>
          </w:p>
        </w:tc>
        <w:tc>
          <w:tcPr>
            <w:tcW w:w="1870" w:type="dxa"/>
            <w:shd w:val="clear" w:color="auto" w:fill="FFFF00"/>
          </w:tcPr>
          <w:p w14:paraId="0000004F" w14:textId="77777777" w:rsidR="00D168A3" w:rsidRDefault="00D168A3">
            <w:pPr>
              <w:rPr>
                <w:rFonts w:ascii="Calibri" w:eastAsia="Calibri" w:hAnsi="Calibri" w:cs="Calibri"/>
                <w:color w:val="000000"/>
              </w:rPr>
            </w:pPr>
          </w:p>
        </w:tc>
        <w:tc>
          <w:tcPr>
            <w:tcW w:w="1870" w:type="dxa"/>
            <w:shd w:val="clear" w:color="auto" w:fill="FFFF00"/>
          </w:tcPr>
          <w:p w14:paraId="00000050" w14:textId="77777777" w:rsidR="00D168A3" w:rsidRDefault="00D168A3">
            <w:pPr>
              <w:rPr>
                <w:rFonts w:ascii="Calibri" w:eastAsia="Calibri" w:hAnsi="Calibri" w:cs="Calibri"/>
                <w:color w:val="000000"/>
              </w:rPr>
            </w:pPr>
          </w:p>
        </w:tc>
        <w:tc>
          <w:tcPr>
            <w:tcW w:w="1870" w:type="dxa"/>
            <w:shd w:val="clear" w:color="auto" w:fill="FFC000"/>
          </w:tcPr>
          <w:p w14:paraId="00000051" w14:textId="77777777" w:rsidR="00D168A3" w:rsidRDefault="00D168A3">
            <w:pPr>
              <w:rPr>
                <w:rFonts w:ascii="Calibri" w:eastAsia="Calibri" w:hAnsi="Calibri" w:cs="Calibri"/>
                <w:color w:val="000000"/>
              </w:rPr>
            </w:pPr>
          </w:p>
        </w:tc>
        <w:tc>
          <w:tcPr>
            <w:tcW w:w="1870" w:type="dxa"/>
            <w:shd w:val="clear" w:color="auto" w:fill="FF0000"/>
          </w:tcPr>
          <w:p w14:paraId="00000052" w14:textId="77777777" w:rsidR="00D168A3" w:rsidRDefault="00D168A3">
            <w:pPr>
              <w:rPr>
                <w:rFonts w:ascii="Calibri" w:eastAsia="Calibri" w:hAnsi="Calibri" w:cs="Calibri"/>
                <w:color w:val="000000"/>
              </w:rPr>
            </w:pPr>
          </w:p>
        </w:tc>
      </w:tr>
      <w:tr w:rsidR="00D168A3" w14:paraId="436AD6B6" w14:textId="77777777">
        <w:tc>
          <w:tcPr>
            <w:tcW w:w="1870" w:type="dxa"/>
          </w:tcPr>
          <w:p w14:paraId="00000053" w14:textId="77777777" w:rsidR="00D168A3" w:rsidRDefault="007D57ED">
            <w:pPr>
              <w:rPr>
                <w:rFonts w:ascii="Calibri" w:eastAsia="Calibri" w:hAnsi="Calibri" w:cs="Calibri"/>
                <w:color w:val="000000"/>
              </w:rPr>
            </w:pPr>
            <w:r>
              <w:rPr>
                <w:rFonts w:ascii="Calibri" w:eastAsia="Calibri" w:hAnsi="Calibri" w:cs="Calibri"/>
                <w:color w:val="000000"/>
                <w:lang w:val="fr"/>
              </w:rPr>
              <w:t>4 Presque certain</w:t>
            </w:r>
          </w:p>
        </w:tc>
        <w:tc>
          <w:tcPr>
            <w:tcW w:w="1870" w:type="dxa"/>
            <w:shd w:val="clear" w:color="auto" w:fill="FFFF00"/>
          </w:tcPr>
          <w:p w14:paraId="00000054" w14:textId="77777777" w:rsidR="00D168A3" w:rsidRDefault="00D168A3">
            <w:pPr>
              <w:rPr>
                <w:rFonts w:ascii="Calibri" w:eastAsia="Calibri" w:hAnsi="Calibri" w:cs="Calibri"/>
                <w:color w:val="000000"/>
              </w:rPr>
            </w:pPr>
          </w:p>
        </w:tc>
        <w:tc>
          <w:tcPr>
            <w:tcW w:w="1870" w:type="dxa"/>
            <w:shd w:val="clear" w:color="auto" w:fill="FFC000"/>
          </w:tcPr>
          <w:p w14:paraId="00000055" w14:textId="77777777" w:rsidR="00D168A3" w:rsidRDefault="00D168A3">
            <w:pPr>
              <w:rPr>
                <w:rFonts w:ascii="Calibri" w:eastAsia="Calibri" w:hAnsi="Calibri" w:cs="Calibri"/>
                <w:color w:val="000000"/>
              </w:rPr>
            </w:pPr>
          </w:p>
        </w:tc>
        <w:tc>
          <w:tcPr>
            <w:tcW w:w="1870" w:type="dxa"/>
            <w:shd w:val="clear" w:color="auto" w:fill="FF0000"/>
          </w:tcPr>
          <w:p w14:paraId="00000056" w14:textId="77777777" w:rsidR="00D168A3" w:rsidRDefault="00D168A3">
            <w:pPr>
              <w:rPr>
                <w:rFonts w:ascii="Calibri" w:eastAsia="Calibri" w:hAnsi="Calibri" w:cs="Calibri"/>
                <w:color w:val="000000"/>
              </w:rPr>
            </w:pPr>
          </w:p>
        </w:tc>
        <w:tc>
          <w:tcPr>
            <w:tcW w:w="1870" w:type="dxa"/>
            <w:shd w:val="clear" w:color="auto" w:fill="FF0000"/>
          </w:tcPr>
          <w:p w14:paraId="00000057" w14:textId="77777777" w:rsidR="00D168A3" w:rsidRDefault="00D168A3">
            <w:pPr>
              <w:rPr>
                <w:rFonts w:ascii="Calibri" w:eastAsia="Calibri" w:hAnsi="Calibri" w:cs="Calibri"/>
                <w:color w:val="000000"/>
              </w:rPr>
            </w:pPr>
          </w:p>
        </w:tc>
      </w:tr>
    </w:tbl>
    <w:p w14:paraId="00000058" w14:textId="77777777" w:rsidR="00D168A3" w:rsidRDefault="00D168A3">
      <w:pPr>
        <w:pBdr>
          <w:top w:val="nil"/>
          <w:left w:val="nil"/>
          <w:bottom w:val="nil"/>
          <w:right w:val="nil"/>
          <w:between w:val="nil"/>
        </w:pBdr>
        <w:spacing w:after="0" w:line="240" w:lineRule="auto"/>
        <w:rPr>
          <w:rFonts w:ascii="Calibri" w:eastAsia="Calibri" w:hAnsi="Calibri" w:cs="Calibri"/>
          <w:color w:val="000000"/>
        </w:rPr>
      </w:pPr>
    </w:p>
    <w:p w14:paraId="00000059" w14:textId="77777777" w:rsidR="00D168A3" w:rsidRDefault="00D168A3">
      <w:pPr>
        <w:spacing w:after="0" w:line="240" w:lineRule="auto"/>
        <w:rPr>
          <w:rFonts w:ascii="Calibri" w:eastAsia="Calibri" w:hAnsi="Calibri" w:cs="Calibri"/>
        </w:rPr>
      </w:pPr>
    </w:p>
    <w:p w14:paraId="0000005A" w14:textId="00E51CEE"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 xml:space="preserve">Si l’identification des risques et les mesures d’atténuation doivent être élaborées dès le début du </w:t>
      </w:r>
      <w:r>
        <w:rPr>
          <w:rFonts w:ascii="Calibri" w:eastAsia="Calibri" w:hAnsi="Calibri" w:cs="Calibri"/>
          <w:lang w:val="fr"/>
        </w:rPr>
        <w:lastRenderedPageBreak/>
        <w:t>processus de planification, il convient de noter que le plan de gestion des risques et d’atténuation qui en résulte est un document évolutif qui doit être revu et mis à jour régulièrement au cours de la période précédant la DMS. Au début du processus, il ne sera peut-être pas possible d’identifier et d’évaluer tous les risques potentiels ; c’est pourquoi les premiers plans doivent donner la priorité aux risques les plus critiques. Le tableau 2 ci-dessous présente les risques prioritaires identifiés lors de précédentes campagnes de DMS, en prenant l’exemple de l’activité DMS 2021 de la Zambie mise en œuvre par le Programme national d’élimination du paludisme (NMEP).</w:t>
      </w:r>
    </w:p>
    <w:p w14:paraId="0000005B" w14:textId="77777777" w:rsidR="00D168A3" w:rsidRPr="000D1A90" w:rsidRDefault="00D168A3">
      <w:pPr>
        <w:widowControl w:val="0"/>
        <w:spacing w:after="0" w:line="240" w:lineRule="auto"/>
        <w:rPr>
          <w:rFonts w:ascii="Calibri" w:eastAsia="Calibri" w:hAnsi="Calibri" w:cs="Calibri"/>
          <w:i/>
          <w:sz w:val="18"/>
          <w:szCs w:val="18"/>
          <w:lang w:val="fr-FR"/>
        </w:rPr>
      </w:pPr>
    </w:p>
    <w:p w14:paraId="0000005C" w14:textId="77777777" w:rsidR="00D168A3" w:rsidRDefault="007D57ED">
      <w:pPr>
        <w:widowControl w:val="0"/>
        <w:spacing w:after="0" w:line="240" w:lineRule="auto"/>
        <w:rPr>
          <w:rFonts w:ascii="Calibri" w:eastAsia="Calibri" w:hAnsi="Calibri" w:cs="Calibri"/>
          <w:i/>
          <w:sz w:val="18"/>
          <w:szCs w:val="18"/>
        </w:rPr>
      </w:pPr>
      <w:r>
        <w:rPr>
          <w:rFonts w:ascii="Calibri" w:eastAsia="Calibri" w:hAnsi="Calibri" w:cs="Calibri"/>
          <w:i/>
          <w:iCs/>
          <w:sz w:val="18"/>
          <w:szCs w:val="18"/>
          <w:lang w:val="fr"/>
        </w:rPr>
        <w:t>Tableau 2 : Risques prioritaires</w:t>
      </w:r>
    </w:p>
    <w:tbl>
      <w:tblPr>
        <w:tblStyle w:val="a6"/>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9"/>
        <w:gridCol w:w="3184"/>
        <w:gridCol w:w="1560"/>
        <w:gridCol w:w="2276"/>
      </w:tblGrid>
      <w:tr w:rsidR="00D168A3" w:rsidRPr="00DF4E36" w14:paraId="6160373D" w14:textId="77777777" w:rsidTr="007373F6">
        <w:tc>
          <w:tcPr>
            <w:tcW w:w="2339" w:type="dxa"/>
            <w:shd w:val="clear" w:color="auto" w:fill="auto"/>
          </w:tcPr>
          <w:p w14:paraId="0000005D" w14:textId="77777777" w:rsidR="00D168A3" w:rsidRPr="000D1A90" w:rsidRDefault="007D57ED">
            <w:pPr>
              <w:widowControl w:val="0"/>
              <w:spacing w:after="0" w:line="240" w:lineRule="auto"/>
              <w:rPr>
                <w:rFonts w:ascii="Calibri" w:eastAsia="Calibri" w:hAnsi="Calibri" w:cs="Calibri"/>
                <w:b/>
                <w:lang w:val="fr-FR"/>
              </w:rPr>
            </w:pPr>
            <w:r>
              <w:rPr>
                <w:rFonts w:ascii="Calibri" w:eastAsia="Calibri" w:hAnsi="Calibri" w:cs="Calibri"/>
                <w:b/>
                <w:bCs/>
                <w:lang w:val="fr"/>
              </w:rPr>
              <w:t>Domaine stratégique de la DMS</w:t>
            </w:r>
          </w:p>
        </w:tc>
        <w:tc>
          <w:tcPr>
            <w:tcW w:w="3184" w:type="dxa"/>
            <w:shd w:val="clear" w:color="auto" w:fill="auto"/>
          </w:tcPr>
          <w:p w14:paraId="0000005E"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fr"/>
              </w:rPr>
              <w:t>Risque</w:t>
            </w:r>
          </w:p>
        </w:tc>
        <w:tc>
          <w:tcPr>
            <w:tcW w:w="1560" w:type="dxa"/>
            <w:shd w:val="clear" w:color="auto" w:fill="auto"/>
          </w:tcPr>
          <w:p w14:paraId="0000005F"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fr"/>
              </w:rPr>
              <w:t>Catégorie de risque</w:t>
            </w:r>
          </w:p>
        </w:tc>
        <w:tc>
          <w:tcPr>
            <w:tcW w:w="2276" w:type="dxa"/>
            <w:shd w:val="clear" w:color="auto" w:fill="auto"/>
          </w:tcPr>
          <w:p w14:paraId="00000060"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fr"/>
              </w:rPr>
              <w:t>Risque pour qui ?</w:t>
            </w:r>
          </w:p>
        </w:tc>
      </w:tr>
      <w:tr w:rsidR="00D168A3" w:rsidRPr="00DF4E36" w14:paraId="433400A4" w14:textId="77777777" w:rsidTr="007373F6">
        <w:tc>
          <w:tcPr>
            <w:tcW w:w="2339" w:type="dxa"/>
            <w:shd w:val="clear" w:color="auto" w:fill="auto"/>
          </w:tcPr>
          <w:p w14:paraId="00000061"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lang w:val="fr"/>
              </w:rPr>
              <w:t>Quantification des MII</w:t>
            </w:r>
          </w:p>
        </w:tc>
        <w:tc>
          <w:tcPr>
            <w:tcW w:w="3184" w:type="dxa"/>
            <w:shd w:val="clear" w:color="auto" w:fill="auto"/>
          </w:tcPr>
          <w:p w14:paraId="00000062" w14:textId="77777777" w:rsidR="00D168A3" w:rsidRPr="000D1A90" w:rsidRDefault="007D57ED">
            <w:pPr>
              <w:widowControl w:val="0"/>
              <w:spacing w:after="0" w:line="240" w:lineRule="auto"/>
              <w:rPr>
                <w:rFonts w:ascii="Calibri" w:eastAsia="Calibri" w:hAnsi="Calibri" w:cs="Calibri"/>
                <w:b/>
                <w:lang w:val="fr-FR"/>
              </w:rPr>
            </w:pPr>
            <w:r>
              <w:rPr>
                <w:rFonts w:ascii="Calibri" w:eastAsia="Calibri" w:hAnsi="Calibri" w:cs="Calibri"/>
                <w:lang w:val="fr"/>
              </w:rPr>
              <w:t>Les lacunes dans la fourniture de MII résultent d’inexactitudes dans les données d’inscription utilisées pour la quantification, ce qui entraîne un décalage entre le nombre de moustiquaires nécessaires et le nombre de moustiquaires reçues.</w:t>
            </w:r>
          </w:p>
        </w:tc>
        <w:tc>
          <w:tcPr>
            <w:tcW w:w="1560" w:type="dxa"/>
            <w:shd w:val="clear" w:color="auto" w:fill="auto"/>
          </w:tcPr>
          <w:p w14:paraId="00000063"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lang w:val="fr"/>
              </w:rPr>
              <w:t>Opérationnel</w:t>
            </w:r>
          </w:p>
        </w:tc>
        <w:tc>
          <w:tcPr>
            <w:tcW w:w="2276" w:type="dxa"/>
            <w:shd w:val="clear" w:color="auto" w:fill="auto"/>
          </w:tcPr>
          <w:p w14:paraId="00000064" w14:textId="5D3998C4" w:rsidR="00D168A3" w:rsidRPr="00DF4E36" w:rsidRDefault="007D57ED">
            <w:pPr>
              <w:widowControl w:val="0"/>
              <w:spacing w:after="0" w:line="240" w:lineRule="auto"/>
              <w:rPr>
                <w:rFonts w:ascii="Calibri" w:eastAsia="Calibri" w:hAnsi="Calibri" w:cs="Calibri"/>
                <w:b/>
              </w:rPr>
            </w:pPr>
            <w:r>
              <w:rPr>
                <w:rFonts w:ascii="Calibri" w:eastAsia="Calibri" w:hAnsi="Calibri" w:cs="Calibri"/>
                <w:lang w:val="fr"/>
              </w:rPr>
              <w:t>NMEP/Ministère de l’Éducation</w:t>
            </w:r>
          </w:p>
        </w:tc>
      </w:tr>
      <w:tr w:rsidR="00D168A3" w:rsidRPr="003827DC" w14:paraId="3D09797B" w14:textId="77777777" w:rsidTr="007373F6">
        <w:trPr>
          <w:trHeight w:val="850"/>
        </w:trPr>
        <w:tc>
          <w:tcPr>
            <w:tcW w:w="2339" w:type="dxa"/>
            <w:shd w:val="clear" w:color="auto" w:fill="auto"/>
          </w:tcPr>
          <w:p w14:paraId="00000065"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fr"/>
              </w:rPr>
              <w:t>Chaîne logistique</w:t>
            </w:r>
          </w:p>
        </w:tc>
        <w:tc>
          <w:tcPr>
            <w:tcW w:w="3184" w:type="dxa"/>
            <w:shd w:val="clear" w:color="auto" w:fill="auto"/>
          </w:tcPr>
          <w:p w14:paraId="00000066"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La disponibilité limitée des produits de base restreint le nombre de districts, d’écoles et de niveaux scolaires participants.</w:t>
            </w:r>
          </w:p>
        </w:tc>
        <w:tc>
          <w:tcPr>
            <w:tcW w:w="1560" w:type="dxa"/>
            <w:shd w:val="clear" w:color="auto" w:fill="auto"/>
          </w:tcPr>
          <w:p w14:paraId="00000067"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fr"/>
              </w:rPr>
              <w:t>Opérationnel</w:t>
            </w:r>
          </w:p>
        </w:tc>
        <w:tc>
          <w:tcPr>
            <w:tcW w:w="2276" w:type="dxa"/>
            <w:shd w:val="clear" w:color="auto" w:fill="auto"/>
          </w:tcPr>
          <w:p w14:paraId="00000068"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NMEP/Partenaires de mise en œuvre</w:t>
            </w:r>
          </w:p>
        </w:tc>
      </w:tr>
      <w:tr w:rsidR="00D168A3" w:rsidRPr="00DF4E36" w14:paraId="2F863EB9" w14:textId="77777777" w:rsidTr="007373F6">
        <w:tc>
          <w:tcPr>
            <w:tcW w:w="2339" w:type="dxa"/>
            <w:shd w:val="clear" w:color="auto" w:fill="auto"/>
          </w:tcPr>
          <w:p w14:paraId="00000069"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fr"/>
              </w:rPr>
              <w:t>Suivi et évaluation</w:t>
            </w:r>
          </w:p>
        </w:tc>
        <w:tc>
          <w:tcPr>
            <w:tcW w:w="3184" w:type="dxa"/>
            <w:shd w:val="clear" w:color="auto" w:fill="auto"/>
          </w:tcPr>
          <w:p w14:paraId="0000006A"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Manque de clarté concernant les responsabilités en matière de gestion des données entre le ministère de la Santé et le ministère de l’Éducation.</w:t>
            </w:r>
          </w:p>
        </w:tc>
        <w:tc>
          <w:tcPr>
            <w:tcW w:w="1560" w:type="dxa"/>
            <w:shd w:val="clear" w:color="auto" w:fill="auto"/>
          </w:tcPr>
          <w:p w14:paraId="0000006B"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fr"/>
              </w:rPr>
              <w:t>Opérationnel</w:t>
            </w:r>
          </w:p>
        </w:tc>
        <w:tc>
          <w:tcPr>
            <w:tcW w:w="2276" w:type="dxa"/>
            <w:shd w:val="clear" w:color="auto" w:fill="auto"/>
          </w:tcPr>
          <w:p w14:paraId="0000006C"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fr"/>
              </w:rPr>
              <w:t>NMEP/Ministère de l’Éducation</w:t>
            </w:r>
          </w:p>
        </w:tc>
      </w:tr>
      <w:tr w:rsidR="00D168A3" w:rsidRPr="00DF4E36" w14:paraId="4C210D48" w14:textId="77777777" w:rsidTr="007373F6">
        <w:tc>
          <w:tcPr>
            <w:tcW w:w="2339" w:type="dxa"/>
            <w:shd w:val="clear" w:color="auto" w:fill="auto"/>
          </w:tcPr>
          <w:p w14:paraId="0000006D"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Changement social et comportemental (CSC)</w:t>
            </w:r>
          </w:p>
        </w:tc>
        <w:tc>
          <w:tcPr>
            <w:tcW w:w="3184" w:type="dxa"/>
            <w:shd w:val="clear" w:color="auto" w:fill="auto"/>
          </w:tcPr>
          <w:p w14:paraId="0000006E"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 xml:space="preserve">Financement limité du CSC pour la DMS, entraînant un manque d’engagement de la part des parties prenantes essentielles. </w:t>
            </w:r>
          </w:p>
        </w:tc>
        <w:tc>
          <w:tcPr>
            <w:tcW w:w="1560" w:type="dxa"/>
            <w:shd w:val="clear" w:color="auto" w:fill="auto"/>
          </w:tcPr>
          <w:p w14:paraId="0000006F"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fr"/>
              </w:rPr>
              <w:t xml:space="preserve">Financier </w:t>
            </w:r>
          </w:p>
        </w:tc>
        <w:tc>
          <w:tcPr>
            <w:tcW w:w="2276" w:type="dxa"/>
            <w:shd w:val="clear" w:color="auto" w:fill="auto"/>
          </w:tcPr>
          <w:p w14:paraId="00000070"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fr"/>
              </w:rPr>
              <w:t>NMEP/Ministère de l’Éducation</w:t>
            </w:r>
          </w:p>
        </w:tc>
      </w:tr>
    </w:tbl>
    <w:p w14:paraId="00000071" w14:textId="77777777" w:rsidR="00D168A3" w:rsidRDefault="00D168A3">
      <w:pPr>
        <w:widowControl w:val="0"/>
        <w:spacing w:after="0" w:line="240" w:lineRule="auto"/>
        <w:rPr>
          <w:rFonts w:ascii="Calibri" w:eastAsia="Calibri" w:hAnsi="Calibri" w:cs="Calibri"/>
        </w:rPr>
      </w:pPr>
    </w:p>
    <w:p w14:paraId="00000072" w14:textId="77777777" w:rsidR="00D168A3" w:rsidRPr="00901202" w:rsidRDefault="007D57ED">
      <w:pPr>
        <w:widowControl w:val="0"/>
        <w:spacing w:after="0" w:line="240" w:lineRule="auto"/>
        <w:rPr>
          <w:rFonts w:ascii="Calibri" w:eastAsia="Calibri" w:hAnsi="Calibri" w:cs="Calibri"/>
          <w:b/>
          <w:sz w:val="24"/>
          <w:szCs w:val="24"/>
          <w:lang w:val="fr-FR"/>
        </w:rPr>
      </w:pPr>
      <w:r>
        <w:rPr>
          <w:rFonts w:ascii="Calibri" w:eastAsia="Calibri" w:hAnsi="Calibri" w:cs="Calibri"/>
          <w:b/>
          <w:bCs/>
          <w:sz w:val="24"/>
          <w:szCs w:val="24"/>
          <w:lang w:val="fr"/>
        </w:rPr>
        <w:t>2. </w:t>
      </w:r>
      <w:r>
        <w:rPr>
          <w:rFonts w:ascii="Calibri" w:eastAsia="Calibri" w:hAnsi="Calibri" w:cs="Calibri"/>
          <w:b/>
          <w:bCs/>
          <w:sz w:val="24"/>
          <w:szCs w:val="24"/>
          <w:lang w:val="fr"/>
        </w:rPr>
        <w:tab/>
        <w:t>Plan d’atténuation des risques associés à la DMS</w:t>
      </w:r>
    </w:p>
    <w:p w14:paraId="00000073" w14:textId="34F127BB" w:rsidR="00D168A3" w:rsidRPr="000D1A90" w:rsidRDefault="007D57ED">
      <w:pPr>
        <w:widowControl w:val="0"/>
        <w:spacing w:after="0" w:line="240" w:lineRule="auto"/>
        <w:rPr>
          <w:rFonts w:ascii="Calibri" w:eastAsia="Calibri" w:hAnsi="Calibri" w:cs="Calibri"/>
          <w:lang w:val="fr-FR"/>
        </w:rPr>
      </w:pPr>
      <w:r>
        <w:rPr>
          <w:rFonts w:ascii="Calibri" w:hAnsi="Calibri"/>
          <w:lang w:val="fr"/>
        </w:rPr>
        <w:t>Un plan solide d’atténuation des risques garantit que les risques identifiés soient suivis et traités tout au long de la période de DMS. Le groupe de travail de la DMS (ou équivalent) doit suivre activement les risques et mettre à jour les mesures d’atténuation dans le plan d’action (</w:t>
      </w:r>
      <w:commentRangeStart w:id="0"/>
      <w:r>
        <w:rPr>
          <w:rFonts w:ascii="Calibri" w:hAnsi="Calibri"/>
          <w:lang w:val="fr"/>
        </w:rPr>
        <w:t>PA</w:t>
      </w:r>
      <w:commentRangeEnd w:id="0"/>
      <w:r>
        <w:rPr>
          <w:rFonts w:ascii="Calibri" w:hAnsi="Calibri"/>
          <w:lang w:val="fr"/>
        </w:rPr>
        <w:commentReference w:id="0"/>
      </w:r>
      <w:r>
        <w:rPr>
          <w:rFonts w:ascii="Calibri" w:hAnsi="Calibri"/>
          <w:lang w:val="fr"/>
        </w:rPr>
        <w:t>) principal de la DMS. Idéalement, un membre du groupe de travail de la DMS devrait être désigné comme responsable de l’évaluation des risques et du plan d’atténuation, afin de garantir l’obligation de rendre compte. L’identification des risques doit prendre en compte les risques généraux et systém</w:t>
      </w:r>
      <w:r w:rsidR="00901202">
        <w:rPr>
          <w:rFonts w:ascii="Calibri" w:hAnsi="Calibri"/>
          <w:lang w:val="fr"/>
        </w:rPr>
        <w:t>i</w:t>
      </w:r>
      <w:r>
        <w:rPr>
          <w:rFonts w:ascii="Calibri" w:hAnsi="Calibri"/>
          <w:lang w:val="fr"/>
        </w:rPr>
        <w:t>ques, ainsi que les risques spécifiques au niveau infranational, de l’école et de la communauté. Les responsables des risques doivent élaborer des stratégies d’atténuation adaptées à chaque risque identifié, en veillant à ce qu’elles soient mises en œuvre efficacement et en temps voulu.</w:t>
      </w:r>
    </w:p>
    <w:p w14:paraId="00000074" w14:textId="77777777" w:rsidR="00D168A3" w:rsidRPr="000D1A90" w:rsidRDefault="00D168A3">
      <w:pPr>
        <w:widowControl w:val="0"/>
        <w:spacing w:after="0" w:line="240" w:lineRule="auto"/>
        <w:rPr>
          <w:rFonts w:ascii="Calibri" w:eastAsia="Calibri" w:hAnsi="Calibri" w:cs="Calibri"/>
          <w:lang w:val="fr-FR"/>
        </w:rPr>
      </w:pPr>
    </w:p>
    <w:p w14:paraId="00000077" w14:textId="77777777" w:rsidR="00D168A3" w:rsidRPr="000D1A90" w:rsidRDefault="007D57ED">
      <w:pPr>
        <w:widowControl w:val="0"/>
        <w:pBdr>
          <w:top w:val="single" w:sz="4" w:space="1" w:color="000000"/>
          <w:left w:val="single" w:sz="4" w:space="4" w:color="000000"/>
          <w:bottom w:val="single" w:sz="4" w:space="1" w:color="000000"/>
          <w:right w:val="single" w:sz="4" w:space="4" w:color="000000"/>
        </w:pBdr>
        <w:spacing w:after="0" w:line="240" w:lineRule="auto"/>
        <w:rPr>
          <w:rFonts w:ascii="Calibri" w:eastAsia="Calibri" w:hAnsi="Calibri" w:cs="Calibri"/>
          <w:b/>
          <w:lang w:val="fr-FR"/>
        </w:rPr>
      </w:pPr>
      <w:r>
        <w:rPr>
          <w:rFonts w:ascii="Calibri" w:eastAsia="Calibri" w:hAnsi="Calibri" w:cs="Calibri"/>
          <w:b/>
          <w:bCs/>
          <w:lang w:val="fr"/>
        </w:rPr>
        <w:t>Le plan d’évaluation et d’atténuation des risques est un élément essentiel du PA de la DMS et doit être mis à jour en permanence.</w:t>
      </w:r>
    </w:p>
    <w:p w14:paraId="731D832E" w14:textId="77777777" w:rsidR="009A16DF" w:rsidRPr="000D1A90" w:rsidRDefault="009A16DF">
      <w:pPr>
        <w:widowControl w:val="0"/>
        <w:spacing w:after="0" w:line="240" w:lineRule="auto"/>
        <w:rPr>
          <w:lang w:val="fr-FR"/>
        </w:rPr>
      </w:pPr>
    </w:p>
    <w:p w14:paraId="00000079" w14:textId="1C75ED4E" w:rsidR="00D168A3" w:rsidRPr="000D1A90" w:rsidRDefault="007D57ED">
      <w:pPr>
        <w:widowControl w:val="0"/>
        <w:spacing w:after="0" w:line="240" w:lineRule="auto"/>
        <w:rPr>
          <w:rFonts w:ascii="Calibri" w:eastAsia="Calibri" w:hAnsi="Calibri" w:cs="Calibri"/>
          <w:lang w:val="fr-FR"/>
        </w:rPr>
      </w:pPr>
      <w:r>
        <w:rPr>
          <w:rFonts w:ascii="Calibri" w:hAnsi="Calibri"/>
          <w:lang w:val="fr"/>
        </w:rPr>
        <w:t xml:space="preserve">Un </w:t>
      </w:r>
      <w:commentRangeStart w:id="1"/>
      <w:r>
        <w:rPr>
          <w:rFonts w:ascii="Calibri" w:hAnsi="Calibri"/>
          <w:lang w:val="fr"/>
        </w:rPr>
        <w:t>outil adaptable</w:t>
      </w:r>
      <w:commentRangeEnd w:id="1"/>
      <w:r>
        <w:rPr>
          <w:rFonts w:ascii="Calibri" w:hAnsi="Calibri"/>
          <w:lang w:val="fr"/>
        </w:rPr>
        <w:commentReference w:id="1"/>
      </w:r>
      <w:r>
        <w:rPr>
          <w:rFonts w:ascii="Calibri" w:hAnsi="Calibri"/>
          <w:lang w:val="fr"/>
        </w:rPr>
        <w:t xml:space="preserve"> d’évaluation des risques et de plan d’atténuation (Excel) est disponible avec ce document d’orientation. Le plan comprend les risques communs tirés de l’expérience des pays en matière de mise en œuvre de la DMS, mais doit être révisé en fonction du contexte et de la situation spécifique de chaque pays.</w:t>
      </w:r>
    </w:p>
    <w:p w14:paraId="0000007A" w14:textId="77777777" w:rsidR="00D168A3" w:rsidRPr="000D1A90" w:rsidRDefault="00D168A3">
      <w:pPr>
        <w:widowControl w:val="0"/>
        <w:spacing w:after="0" w:line="240" w:lineRule="auto"/>
        <w:rPr>
          <w:rFonts w:ascii="Calibri" w:eastAsia="Calibri" w:hAnsi="Calibri" w:cs="Calibri"/>
          <w:b/>
          <w:lang w:val="fr-FR"/>
        </w:rPr>
      </w:pPr>
    </w:p>
    <w:p w14:paraId="0000007B" w14:textId="77777777" w:rsidR="00D168A3" w:rsidRPr="000D1A90" w:rsidRDefault="007D57ED">
      <w:pPr>
        <w:widowControl w:val="0"/>
        <w:spacing w:after="0" w:line="240" w:lineRule="auto"/>
        <w:rPr>
          <w:rFonts w:ascii="Calibri" w:eastAsia="Calibri" w:hAnsi="Calibri" w:cs="Calibri"/>
          <w:b/>
          <w:lang w:val="fr-FR"/>
        </w:rPr>
      </w:pPr>
      <w:r>
        <w:rPr>
          <w:rFonts w:ascii="Calibri" w:eastAsia="Calibri" w:hAnsi="Calibri" w:cs="Calibri"/>
          <w:b/>
          <w:bCs/>
          <w:lang w:val="fr"/>
        </w:rPr>
        <w:t>Meilleures pratiques pour la gestion des risques dans la DMS</w:t>
      </w:r>
    </w:p>
    <w:p w14:paraId="0000007C" w14:textId="6BC3DB97" w:rsidR="00D168A3" w:rsidRPr="000D1A90"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fr-FR"/>
        </w:rPr>
      </w:pPr>
      <w:r>
        <w:rPr>
          <w:rFonts w:ascii="Calibri" w:eastAsia="Calibri" w:hAnsi="Calibri" w:cs="Calibri"/>
          <w:color w:val="000000"/>
          <w:lang w:val="fr"/>
        </w:rPr>
        <w:t>Impliquer les parties prenantes : consulter le personnel du ministère de l’Éducation, les autorités scolaires infranationales, les chefs d’établissement, les dirigeants communautaires et les autres parties prenantes concernées afin d’identifier les risques potentiels et d’élaborer des stratégies d’atténuation appropriées.</w:t>
      </w:r>
    </w:p>
    <w:p w14:paraId="0000007D" w14:textId="77777777" w:rsidR="00D168A3" w:rsidRPr="000D1A90"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fr-FR"/>
        </w:rPr>
      </w:pPr>
      <w:r>
        <w:rPr>
          <w:rFonts w:ascii="Calibri" w:eastAsia="Calibri" w:hAnsi="Calibri" w:cs="Calibri"/>
          <w:color w:val="000000"/>
          <w:lang w:val="fr"/>
        </w:rPr>
        <w:t>Tirer les leçons des expériences passées : examiner toutes les distributions antérieures de MII dans le cadre de la DMS afin d’identifier les enseignements tirés et les pièges potentiels.</w:t>
      </w:r>
    </w:p>
    <w:p w14:paraId="0000007E" w14:textId="77777777" w:rsidR="00D168A3" w:rsidRPr="000D1A90"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fr-FR"/>
        </w:rPr>
      </w:pPr>
      <w:r>
        <w:rPr>
          <w:rFonts w:ascii="Calibri" w:eastAsia="Calibri" w:hAnsi="Calibri" w:cs="Calibri"/>
          <w:color w:val="000000"/>
          <w:lang w:val="fr"/>
        </w:rPr>
        <w:t>Faire preuve de souplesse et d’adaptabilité : être prêt à modifier ses plans en fonction de l’évolution des circonstances.</w:t>
      </w:r>
    </w:p>
    <w:p w14:paraId="0000007F" w14:textId="77777777" w:rsidR="00D168A3" w:rsidRPr="000D1A90"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fr-FR"/>
        </w:rPr>
      </w:pPr>
      <w:r>
        <w:rPr>
          <w:rFonts w:ascii="Calibri" w:eastAsia="Calibri" w:hAnsi="Calibri" w:cs="Calibri"/>
          <w:color w:val="000000"/>
          <w:lang w:val="fr"/>
        </w:rPr>
        <w:t>Tout documenter : tenir des registres détaillés de toutes les activités, y compris les évaluations des risques, les stratégies d’atténuation et les données de suivi.</w:t>
      </w:r>
    </w:p>
    <w:p w14:paraId="00000080" w14:textId="77777777" w:rsidR="00D168A3" w:rsidRPr="000D1A90" w:rsidRDefault="00D168A3">
      <w:pPr>
        <w:widowControl w:val="0"/>
        <w:spacing w:after="0" w:line="240" w:lineRule="auto"/>
        <w:rPr>
          <w:rFonts w:ascii="Calibri" w:eastAsia="Calibri" w:hAnsi="Calibri" w:cs="Calibri"/>
          <w:b/>
          <w:lang w:val="fr-FR"/>
        </w:rPr>
      </w:pPr>
    </w:p>
    <w:p w14:paraId="00000081" w14:textId="77777777" w:rsidR="00D168A3" w:rsidRDefault="007D57ED">
      <w:pPr>
        <w:widowControl w:val="0"/>
        <w:spacing w:after="0" w:line="240" w:lineRule="auto"/>
        <w:rPr>
          <w:rFonts w:ascii="Calibri" w:eastAsia="Calibri" w:hAnsi="Calibri" w:cs="Calibri"/>
          <w:b/>
        </w:rPr>
      </w:pPr>
      <w:r>
        <w:rPr>
          <w:rFonts w:ascii="Calibri" w:eastAsia="Calibri" w:hAnsi="Calibri" w:cs="Calibri"/>
          <w:b/>
          <w:bCs/>
          <w:lang w:val="fr"/>
        </w:rPr>
        <w:t>Ressources par pays</w:t>
      </w:r>
    </w:p>
    <w:p w14:paraId="00000082" w14:textId="4AB8A752" w:rsidR="00D168A3" w:rsidRPr="000D1A90"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fr-FR"/>
        </w:rPr>
      </w:pPr>
      <w:r>
        <w:rPr>
          <w:rFonts w:ascii="Calibri" w:hAnsi="Calibri"/>
          <w:color w:val="000000"/>
          <w:lang w:val="fr"/>
        </w:rPr>
        <w:t xml:space="preserve">Exemples d’évaluation des risques et de plans d’atténuation au </w:t>
      </w:r>
      <w:commentRangeStart w:id="2"/>
      <w:r>
        <w:rPr>
          <w:rFonts w:ascii="Calibri" w:hAnsi="Calibri"/>
          <w:color w:val="000000"/>
          <w:lang w:val="fr"/>
        </w:rPr>
        <w:t>Ghana, en Zambie et en Tanzanie</w:t>
      </w:r>
      <w:commentRangeEnd w:id="2"/>
      <w:r>
        <w:rPr>
          <w:lang w:val="fr"/>
        </w:rPr>
        <w:commentReference w:id="2"/>
      </w:r>
    </w:p>
    <w:sectPr w:rsidR="00D168A3" w:rsidRPr="000D1A90">
      <w:footerReference w:type="even" r:id="rId13"/>
      <w:footerReference w:type="default" r:id="rId14"/>
      <w:headerReference w:type="first" r:id="rId15"/>
      <w:footerReference w:type="first" r:id="rId16"/>
      <w:pgSz w:w="12240" w:h="15840"/>
      <w:pgMar w:top="1440" w:right="1440" w:bottom="1440" w:left="1440" w:header="709" w:footer="709"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Viv Seabright" w:date="2025-05-01T11:50:00Z" w:initials="">
    <w:p w14:paraId="00000093" w14:textId="77777777" w:rsidR="00D168A3" w:rsidRDefault="007D57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w:t>
      </w:r>
    </w:p>
  </w:comment>
  <w:comment w:id="1" w:author="Viv Seabright" w:date="2025-03-06T10:57:00Z" w:initials="">
    <w:p w14:paraId="0000008D" w14:textId="3DB846C7" w:rsidR="00D168A3" w:rsidRDefault="007D57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Insert link</w:t>
      </w:r>
    </w:p>
  </w:comment>
  <w:comment w:id="2" w:author="Viv Seabright" w:date="2025-05-02T11:03:00Z" w:initials="">
    <w:p w14:paraId="00000090" w14:textId="77777777" w:rsidR="00D168A3" w:rsidRDefault="007D57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93" w15:done="0"/>
  <w15:commentEx w15:paraId="0000008D" w15:done="0"/>
  <w15:commentEx w15:paraId="000000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93" w16cid:durableId="00000093"/>
  <w16cid:commentId w16cid:paraId="0000008D" w16cid:durableId="0000008D"/>
  <w16cid:commentId w16cid:paraId="00000090" w16cid:durableId="000000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73FD1" w14:textId="77777777" w:rsidR="00E867E4" w:rsidRDefault="00E867E4">
      <w:pPr>
        <w:spacing w:after="0" w:line="240" w:lineRule="auto"/>
      </w:pPr>
      <w:r>
        <w:separator/>
      </w:r>
    </w:p>
  </w:endnote>
  <w:endnote w:type="continuationSeparator" w:id="0">
    <w:p w14:paraId="0976ED9F" w14:textId="77777777" w:rsidR="00E867E4" w:rsidRDefault="00E86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137C9A2-5917-4448-85F4-756EF1AC3E0F}"/>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90482B8A-4BD3-438D-86AA-571E1BDB6943}"/>
    <w:embedBold r:id="rId3" w:fontKey="{6A3F1054-B816-4998-B350-1EEDD64ED924}"/>
    <w:embedItalic r:id="rId4" w:fontKey="{1873D06B-62DC-473C-BE84-CAE86D89465F}"/>
  </w:font>
  <w:font w:name="Aptos Display">
    <w:charset w:val="00"/>
    <w:family w:val="swiss"/>
    <w:pitch w:val="variable"/>
    <w:sig w:usb0="20000287" w:usb1="00000003" w:usb2="00000000" w:usb3="00000000" w:csb0="0000019F" w:csb1="00000000"/>
    <w:embedRegular r:id="rId5" w:fontKey="{76208D99-1B87-4E1B-9118-B3221E98B6E8}"/>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D8689B5F-E82F-4816-B945-A21303E734DA}"/>
  </w:font>
  <w:font w:name="Calibri">
    <w:panose1 w:val="020F0502020204030204"/>
    <w:charset w:val="00"/>
    <w:family w:val="swiss"/>
    <w:pitch w:val="variable"/>
    <w:sig w:usb0="E4002EFF" w:usb1="C200247B" w:usb2="00000009" w:usb3="00000000" w:csb0="000001FF" w:csb1="00000000"/>
    <w:embedRegular r:id="rId7" w:fontKey="{FC90077E-9CF3-4E07-A311-08F2DF3AF854}"/>
    <w:embedBold r:id="rId8" w:fontKey="{47834ED7-C276-409D-B91E-2B5B1EF3BC7C}"/>
    <w:embedItalic r:id="rId9" w:fontKey="{2DAC147E-90CF-4C16-A809-DB407B4984AF}"/>
    <w:embedBoldItalic r:id="rId10" w:fontKey="{8CD9F498-33AD-408C-B628-54387724FCD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noProof/>
        <w:lang w:val="fr"/>
      </w:rPr>
      <mc:AlternateContent>
        <mc:Choice Requires="wps">
          <w:drawing>
            <wp:anchor distT="0" distB="0" distL="0" distR="0" simplePos="0" relativeHeight="251660288" behindDoc="0" locked="0" layoutInCell="1" hidden="0" allowOverlap="1" wp14:anchorId="61800EBE" wp14:editId="08C26FAF">
              <wp:simplePos x="0" y="0"/>
              <wp:positionH relativeFrom="column">
                <wp:posOffset>-914399</wp:posOffset>
              </wp:positionH>
              <wp:positionV relativeFrom="paragraph">
                <wp:posOffset>0</wp:posOffset>
              </wp:positionV>
              <wp:extent cx="676275" cy="376555"/>
              <wp:effectExtent l="0" t="0" r="0" b="0"/>
              <wp:wrapNone/>
              <wp:docPr id="1767178834" name="Rectangle 1767178834" descr="Interne"/>
              <wp:cNvGraphicFramePr/>
              <a:graphic xmlns:a="http://schemas.openxmlformats.org/drawingml/2006/main">
                <a:graphicData uri="http://schemas.microsoft.com/office/word/2010/wordprocessingShape">
                  <wps:wsp>
                    <wps:cNvSpPr/>
                    <wps:spPr>
                      <a:xfrm>
                        <a:off x="5017388" y="3601248"/>
                        <a:ext cx="657225" cy="357505"/>
                      </a:xfrm>
                      <a:prstGeom prst="rect">
                        <a:avLst/>
                      </a:prstGeom>
                      <a:noFill/>
                      <a:ln>
                        <a:noFill/>
                      </a:ln>
                    </wps:spPr>
                    <wps:txbx>
                      <w:txbxContent>
                        <w:p w14:paraId="7BDC9229" w14:textId="77777777" w:rsidR="00D168A3" w:rsidRDefault="007D57ED">
                          <w:pPr>
                            <w:spacing w:after="0" w:line="258" w:lineRule="auto"/>
                            <w:textDirection w:val="btLr"/>
                          </w:pPr>
                          <w:r>
                            <w:rPr>
                              <w:rFonts w:ascii="Calibri" w:eastAsia="Calibri" w:hAnsi="Calibri" w:cs="Calibri"/>
                              <w:color w:val="000000"/>
                              <w:sz w:val="20"/>
                              <w:lang w:val="fr"/>
                            </w:rPr>
                            <w:t>Interne</w:t>
                          </w:r>
                        </w:p>
                      </w:txbxContent>
                    </wps:txbx>
                    <wps:bodyPr spcFirstLastPara="1" wrap="square" lIns="254000" tIns="0" rIns="0" bIns="190500" anchor="b" anchorCtr="0">
                      <a:noAutofit/>
                    </wps:bodyPr>
                  </wps:wsp>
                </a:graphicData>
              </a:graphic>
            </wp:anchor>
          </w:drawing>
        </mc:Choice>
        <mc:Fallback>
          <w:pict>
            <v:rect w14:anchorId="61800EBE" id="Rectangle 1767178834" o:spid="_x0000_s1026" alt="Internal" style="position:absolute;margin-left:-1in;margin-top:0;width:53.25pt;height:29.6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" filled="f" stroked="f">
              <v:textbox inset="20pt,0,0,15pt">
                <w:txbxContent>
                  <w:p w14:paraId="7BDC9229" w14:textId="77777777" w:rsidR="00D168A3" w:rsidRDefault="007D57ED">
                    <w:pPr>
                      <w:spacing w:after="0" w:line="258" w:lineRule="auto"/>
                      <w:textDirection w:val="btLr"/>
                      <w:bidi w:val="0"/>
                    </w:pPr>
                    <w:r>
                      <w:rPr>
                        <w:rFonts w:ascii="Calibri" w:cs="Calibri" w:eastAsia="Calibri" w:hAnsi="Calibri"/>
                        <w:color w:val="000000"/>
                        <w:sz w:val="20"/>
                        <w:lang w:val="fr"/>
                        <w:b w:val="0"/>
                        <w:bCs w:val="0"/>
                        <w:i w:val="0"/>
                        <w:iCs w:val="0"/>
                        <w:u w:val="none"/>
                        <w:vertAlign w:val="baseline"/>
                        <w:rtl w:val="0"/>
                      </w:rPr>
                      <w:t xml:space="preserve">Interne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21AEEF00" w:rsidR="00D168A3" w:rsidRDefault="007D57ED">
    <w:pPr>
      <w:pBdr>
        <w:top w:val="nil"/>
        <w:left w:val="nil"/>
        <w:bottom w:val="nil"/>
        <w:right w:val="nil"/>
        <w:between w:val="nil"/>
      </w:pBdr>
      <w:tabs>
        <w:tab w:val="center" w:pos="4320"/>
        <w:tab w:val="right" w:pos="8640"/>
      </w:tabs>
      <w:spacing w:after="0" w:line="240" w:lineRule="auto"/>
      <w:jc w:val="center"/>
      <w:rPr>
        <w:rFonts w:ascii="Cambria" w:eastAsia="Cambria" w:hAnsi="Cambria" w:cs="Cambria"/>
        <w:color w:val="000000"/>
        <w:sz w:val="24"/>
        <w:szCs w:val="24"/>
      </w:rPr>
    </w:pPr>
    <w:r>
      <w:rPr>
        <w:rFonts w:ascii="Cambria" w:eastAsia="Cambria" w:hAnsi="Cambria" w:cs="Cambria"/>
        <w:color w:val="000000"/>
        <w:sz w:val="24"/>
        <w:szCs w:val="24"/>
        <w:lang w:val="fr"/>
      </w:rPr>
      <w:fldChar w:fldCharType="begin"/>
    </w:r>
    <w:r>
      <w:rPr>
        <w:rFonts w:ascii="Cambria" w:eastAsia="Cambria" w:hAnsi="Cambria" w:cs="Cambria"/>
        <w:color w:val="000000"/>
        <w:sz w:val="24"/>
        <w:szCs w:val="24"/>
        <w:lang w:val="fr"/>
      </w:rPr>
      <w:instrText>PAGE</w:instrText>
    </w:r>
    <w:r>
      <w:rPr>
        <w:rFonts w:ascii="Cambria" w:eastAsia="Cambria" w:hAnsi="Cambria" w:cs="Cambria"/>
        <w:color w:val="000000"/>
        <w:sz w:val="24"/>
        <w:szCs w:val="24"/>
        <w:lang w:val="fr"/>
      </w:rPr>
      <w:fldChar w:fldCharType="separate"/>
    </w:r>
    <w:r>
      <w:rPr>
        <w:rFonts w:ascii="Cambria" w:eastAsia="Cambria" w:hAnsi="Cambria" w:cs="Cambria"/>
        <w:noProof/>
        <w:color w:val="000000"/>
        <w:sz w:val="24"/>
        <w:szCs w:val="24"/>
        <w:lang w:val="fr"/>
      </w:rPr>
      <w:t>2</w:t>
    </w:r>
    <w:r>
      <w:rPr>
        <w:rFonts w:ascii="Cambria" w:eastAsia="Cambria" w:hAnsi="Cambria" w:cs="Cambria"/>
        <w:color w:val="000000"/>
        <w:sz w:val="24"/>
        <w:szCs w:val="24"/>
        <w:lang w:val="fr"/>
      </w:rPr>
      <w:fldChar w:fldCharType="end"/>
    </w:r>
  </w:p>
  <w:p w14:paraId="00000086" w14:textId="77777777" w:rsidR="00D168A3" w:rsidRDefault="00D168A3">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7"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noProof/>
        <w:lang w:val="fr"/>
      </w:rPr>
      <mc:AlternateContent>
        <mc:Choice Requires="wps">
          <w:drawing>
            <wp:anchor distT="0" distB="0" distL="0" distR="0" simplePos="0" relativeHeight="251659264" behindDoc="0" locked="0" layoutInCell="1" hidden="0" allowOverlap="1" wp14:anchorId="5A2D725E" wp14:editId="1C8964C8">
              <wp:simplePos x="0" y="0"/>
              <wp:positionH relativeFrom="column">
                <wp:posOffset>-914399</wp:posOffset>
              </wp:positionH>
              <wp:positionV relativeFrom="paragraph">
                <wp:posOffset>0</wp:posOffset>
              </wp:positionV>
              <wp:extent cx="676275" cy="376555"/>
              <wp:effectExtent l="0" t="0" r="0" b="0"/>
              <wp:wrapNone/>
              <wp:docPr id="1767178833" name="Rectangle 1767178833" descr="Interne"/>
              <wp:cNvGraphicFramePr/>
              <a:graphic xmlns:a="http://schemas.openxmlformats.org/drawingml/2006/main">
                <a:graphicData uri="http://schemas.microsoft.com/office/word/2010/wordprocessingShape">
                  <wps:wsp>
                    <wps:cNvSpPr/>
                    <wps:spPr>
                      <a:xfrm>
                        <a:off x="5017388" y="3601248"/>
                        <a:ext cx="657225" cy="357505"/>
                      </a:xfrm>
                      <a:prstGeom prst="rect">
                        <a:avLst/>
                      </a:prstGeom>
                      <a:noFill/>
                      <a:ln>
                        <a:noFill/>
                      </a:ln>
                    </wps:spPr>
                    <wps:txbx>
                      <w:txbxContent>
                        <w:p w14:paraId="34239A26" w14:textId="77777777" w:rsidR="00D168A3" w:rsidRDefault="007D57ED">
                          <w:pPr>
                            <w:spacing w:after="0" w:line="258" w:lineRule="auto"/>
                            <w:textDirection w:val="btLr"/>
                          </w:pPr>
                          <w:r>
                            <w:rPr>
                              <w:rFonts w:ascii="Calibri" w:eastAsia="Calibri" w:hAnsi="Calibri" w:cs="Calibri"/>
                              <w:color w:val="000000"/>
                              <w:sz w:val="20"/>
                              <w:lang w:val="fr"/>
                            </w:rPr>
                            <w:t>Interne</w:t>
                          </w:r>
                        </w:p>
                      </w:txbxContent>
                    </wps:txbx>
                    <wps:bodyPr spcFirstLastPara="1" wrap="square" lIns="254000" tIns="0" rIns="0" bIns="190500" anchor="b" anchorCtr="0">
                      <a:noAutofit/>
                    </wps:bodyPr>
                  </wps:wsp>
                </a:graphicData>
              </a:graphic>
            </wp:anchor>
          </w:drawing>
        </mc:Choice>
        <mc:Fallback>
          <w:pict>
            <v:rect w14:anchorId="5A2D725E" id="Rectangle 1767178833" o:spid="_x0000_s1027" alt="Internal" style="position:absolute;margin-left:-1in;margin-top:0;width:53.25pt;height:29.65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" filled="f" stroked="f">
              <v:textbox inset="20pt,0,0,15pt">
                <w:txbxContent>
                  <w:p w14:paraId="34239A26" w14:textId="77777777" w:rsidR="00D168A3" w:rsidRDefault="007D57ED">
                    <w:pPr>
                      <w:spacing w:after="0" w:line="258" w:lineRule="auto"/>
                      <w:textDirection w:val="btLr"/>
                      <w:bidi w:val="0"/>
                    </w:pPr>
                    <w:r>
                      <w:rPr>
                        <w:rFonts w:ascii="Calibri" w:cs="Calibri" w:eastAsia="Calibri" w:hAnsi="Calibri"/>
                        <w:color w:val="000000"/>
                        <w:sz w:val="20"/>
                        <w:lang w:val="fr"/>
                        <w:b w:val="0"/>
                        <w:bCs w:val="0"/>
                        <w:i w:val="0"/>
                        <w:iCs w:val="0"/>
                        <w:u w:val="none"/>
                        <w:vertAlign w:val="baseline"/>
                        <w:rtl w:val="0"/>
                      </w:rPr>
                      <w:t xml:space="preserve">Interne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D4C56" w14:textId="77777777" w:rsidR="00E867E4" w:rsidRDefault="00E867E4">
      <w:pPr>
        <w:spacing w:after="0" w:line="240" w:lineRule="auto"/>
      </w:pPr>
      <w:r>
        <w:separator/>
      </w:r>
    </w:p>
  </w:footnote>
  <w:footnote w:type="continuationSeparator" w:id="0">
    <w:p w14:paraId="17C622DD" w14:textId="77777777" w:rsidR="00E867E4" w:rsidRDefault="00E867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rFonts w:ascii="Cambria" w:eastAsia="Cambria" w:hAnsi="Cambria" w:cs="Cambria"/>
        <w:noProof/>
        <w:color w:val="000000"/>
        <w:sz w:val="24"/>
        <w:szCs w:val="24"/>
        <w:lang w:val="fr"/>
      </w:rPr>
      <w:drawing>
        <wp:anchor distT="0" distB="0" distL="0" distR="0" simplePos="0" relativeHeight="251658240" behindDoc="1" locked="0" layoutInCell="1" hidden="0" allowOverlap="1" wp14:anchorId="26434C31" wp14:editId="7ECEAF71">
          <wp:simplePos x="0" y="0"/>
          <wp:positionH relativeFrom="margin">
            <wp:align>left</wp:align>
          </wp:positionH>
          <wp:positionV relativeFrom="topMargin">
            <wp:posOffset>140298</wp:posOffset>
          </wp:positionV>
          <wp:extent cx="3069590" cy="818515"/>
          <wp:effectExtent l="0" t="0" r="0" b="0"/>
          <wp:wrapNone/>
          <wp:docPr id="1767178835" name="image1.png" descr="Texte&#10;&#10;Description générée automatiquement avec une confiance moyenn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C0D01"/>
    <w:multiLevelType w:val="multilevel"/>
    <w:tmpl w:val="36B66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F051146"/>
    <w:multiLevelType w:val="multilevel"/>
    <w:tmpl w:val="DE16A6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44F7840"/>
    <w:multiLevelType w:val="multilevel"/>
    <w:tmpl w:val="EF5EA7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90995536">
    <w:abstractNumId w:val="1"/>
  </w:num>
  <w:num w:numId="2" w16cid:durableId="792597122">
    <w:abstractNumId w:val="0"/>
  </w:num>
  <w:num w:numId="3" w16cid:durableId="37998710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 Seabright">
    <w15:presenceInfo w15:providerId="Windows Live" w15:userId="960b78e0053313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8A3"/>
    <w:rsid w:val="00031F1B"/>
    <w:rsid w:val="000D1A90"/>
    <w:rsid w:val="003827DC"/>
    <w:rsid w:val="00393A1D"/>
    <w:rsid w:val="00416F20"/>
    <w:rsid w:val="007373F6"/>
    <w:rsid w:val="00761D34"/>
    <w:rsid w:val="007D57ED"/>
    <w:rsid w:val="00824EB9"/>
    <w:rsid w:val="00901202"/>
    <w:rsid w:val="00982895"/>
    <w:rsid w:val="009A16DF"/>
    <w:rsid w:val="00D168A3"/>
    <w:rsid w:val="00DF4E36"/>
    <w:rsid w:val="00E867E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88CA5"/>
  <w15:docId w15:val="{371C44BF-F9E2-486B-92AC-083CBC44B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39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6739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6739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6739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6739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673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73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73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73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73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6739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6739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6739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6739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6739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673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73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73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739C"/>
    <w:rPr>
      <w:rFonts w:eastAsiaTheme="majorEastAsia" w:cstheme="majorBidi"/>
      <w:color w:val="272727" w:themeColor="text1" w:themeTint="D8"/>
    </w:rPr>
  </w:style>
  <w:style w:type="character" w:customStyle="1" w:styleId="TitleChar">
    <w:name w:val="Title Char"/>
    <w:basedOn w:val="DefaultParagraphFont"/>
    <w:link w:val="Title"/>
    <w:uiPriority w:val="10"/>
    <w:rsid w:val="00C673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673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739C"/>
    <w:pPr>
      <w:spacing w:before="160"/>
      <w:jc w:val="center"/>
    </w:pPr>
    <w:rPr>
      <w:i/>
      <w:iCs/>
      <w:color w:val="404040" w:themeColor="text1" w:themeTint="BF"/>
    </w:rPr>
  </w:style>
  <w:style w:type="character" w:customStyle="1" w:styleId="QuoteChar">
    <w:name w:val="Quote Char"/>
    <w:basedOn w:val="DefaultParagraphFont"/>
    <w:link w:val="Quote"/>
    <w:uiPriority w:val="29"/>
    <w:rsid w:val="00C6739C"/>
    <w:rPr>
      <w:i/>
      <w:iCs/>
      <w:color w:val="404040" w:themeColor="text1" w:themeTint="BF"/>
    </w:rPr>
  </w:style>
  <w:style w:type="paragraph" w:styleId="ListParagraph">
    <w:name w:val="List Paragraph"/>
    <w:basedOn w:val="Normal"/>
    <w:uiPriority w:val="34"/>
    <w:qFormat/>
    <w:rsid w:val="00C6739C"/>
    <w:pPr>
      <w:ind w:left="720"/>
      <w:contextualSpacing/>
    </w:pPr>
  </w:style>
  <w:style w:type="character" w:styleId="IntenseEmphasis">
    <w:name w:val="Intense Emphasis"/>
    <w:basedOn w:val="DefaultParagraphFont"/>
    <w:uiPriority w:val="21"/>
    <w:qFormat/>
    <w:rsid w:val="00C6739C"/>
    <w:rPr>
      <w:i/>
      <w:iCs/>
      <w:color w:val="2E74B5" w:themeColor="accent1" w:themeShade="BF"/>
    </w:rPr>
  </w:style>
  <w:style w:type="paragraph" w:styleId="IntenseQuote">
    <w:name w:val="Intense Quote"/>
    <w:basedOn w:val="Normal"/>
    <w:next w:val="Normal"/>
    <w:link w:val="IntenseQuoteChar"/>
    <w:uiPriority w:val="30"/>
    <w:qFormat/>
    <w:rsid w:val="00C6739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6739C"/>
    <w:rPr>
      <w:i/>
      <w:iCs/>
      <w:color w:val="2E74B5" w:themeColor="accent1" w:themeShade="BF"/>
    </w:rPr>
  </w:style>
  <w:style w:type="character" w:styleId="IntenseReference">
    <w:name w:val="Intense Reference"/>
    <w:basedOn w:val="DefaultParagraphFont"/>
    <w:uiPriority w:val="32"/>
    <w:qFormat/>
    <w:rsid w:val="00C6739C"/>
    <w:rPr>
      <w:b/>
      <w:bCs/>
      <w:smallCaps/>
      <w:color w:val="2E74B5" w:themeColor="accent1" w:themeShade="BF"/>
      <w:spacing w:val="5"/>
    </w:rPr>
  </w:style>
  <w:style w:type="paragraph" w:styleId="FootnoteText">
    <w:name w:val="footnote text"/>
    <w:basedOn w:val="Normal"/>
    <w:link w:val="FootnoteTextChar"/>
    <w:uiPriority w:val="99"/>
    <w:semiHidden/>
    <w:unhideWhenUsed/>
    <w:rsid w:val="00F64B3B"/>
    <w:pPr>
      <w:spacing w:after="0" w:line="240" w:lineRule="auto"/>
    </w:pPr>
    <w:rPr>
      <w:rFonts w:ascii="Cambria" w:eastAsia="Cambria" w:hAnsi="Cambria" w:cs="Times New Roman"/>
      <w:sz w:val="24"/>
      <w:szCs w:val="24"/>
    </w:rPr>
  </w:style>
  <w:style w:type="character" w:customStyle="1" w:styleId="FootnoteTextChar">
    <w:name w:val="Footnote Text Char"/>
    <w:basedOn w:val="DefaultParagraphFont"/>
    <w:link w:val="FootnoteText"/>
    <w:uiPriority w:val="99"/>
    <w:semiHidden/>
    <w:rsid w:val="00F64B3B"/>
    <w:rPr>
      <w:rFonts w:ascii="Cambria" w:eastAsia="Cambria" w:hAnsi="Cambria" w:cs="Times New Roman"/>
      <w:kern w:val="0"/>
      <w:sz w:val="24"/>
      <w:szCs w:val="24"/>
    </w:rPr>
  </w:style>
  <w:style w:type="character" w:styleId="FootnoteReference">
    <w:name w:val="footnote reference"/>
    <w:uiPriority w:val="99"/>
    <w:semiHidden/>
    <w:unhideWhenUsed/>
    <w:rsid w:val="00F64B3B"/>
    <w:rPr>
      <w:vertAlign w:val="superscript"/>
    </w:rPr>
  </w:style>
  <w:style w:type="paragraph" w:styleId="Header">
    <w:name w:val="header"/>
    <w:basedOn w:val="Normal"/>
    <w:link w:val="HeaderChar"/>
    <w:uiPriority w:val="99"/>
    <w:unhideWhenUsed/>
    <w:rsid w:val="00F64B3B"/>
    <w:pPr>
      <w:tabs>
        <w:tab w:val="center" w:pos="4320"/>
        <w:tab w:val="right" w:pos="8640"/>
      </w:tabs>
      <w:spacing w:after="0" w:line="240" w:lineRule="auto"/>
    </w:pPr>
    <w:rPr>
      <w:rFonts w:ascii="Cambria" w:eastAsia="Cambria" w:hAnsi="Cambria" w:cs="Times New Roman"/>
      <w:sz w:val="24"/>
      <w:szCs w:val="24"/>
    </w:rPr>
  </w:style>
  <w:style w:type="character" w:customStyle="1" w:styleId="HeaderChar">
    <w:name w:val="Header Char"/>
    <w:basedOn w:val="DefaultParagraphFont"/>
    <w:link w:val="Header"/>
    <w:uiPriority w:val="99"/>
    <w:rsid w:val="00F64B3B"/>
    <w:rPr>
      <w:rFonts w:ascii="Cambria" w:eastAsia="Cambria" w:hAnsi="Cambria" w:cs="Times New Roman"/>
      <w:kern w:val="0"/>
      <w:sz w:val="24"/>
      <w:szCs w:val="24"/>
    </w:rPr>
  </w:style>
  <w:style w:type="paragraph" w:styleId="Footer">
    <w:name w:val="footer"/>
    <w:basedOn w:val="Normal"/>
    <w:link w:val="FooterChar"/>
    <w:uiPriority w:val="99"/>
    <w:unhideWhenUsed/>
    <w:rsid w:val="00F64B3B"/>
    <w:pPr>
      <w:tabs>
        <w:tab w:val="center" w:pos="4320"/>
        <w:tab w:val="right" w:pos="8640"/>
      </w:tabs>
      <w:spacing w:after="0" w:line="240" w:lineRule="auto"/>
    </w:pPr>
    <w:rPr>
      <w:rFonts w:ascii="Cambria" w:eastAsia="Cambria" w:hAnsi="Cambria" w:cs="Times New Roman"/>
      <w:sz w:val="24"/>
      <w:szCs w:val="24"/>
    </w:rPr>
  </w:style>
  <w:style w:type="character" w:customStyle="1" w:styleId="FooterChar">
    <w:name w:val="Footer Char"/>
    <w:basedOn w:val="DefaultParagraphFont"/>
    <w:link w:val="Footer"/>
    <w:uiPriority w:val="99"/>
    <w:rsid w:val="00F64B3B"/>
    <w:rPr>
      <w:rFonts w:ascii="Cambria" w:eastAsia="Cambria" w:hAnsi="Cambria" w:cs="Times New Roman"/>
      <w:kern w:val="0"/>
      <w:sz w:val="24"/>
      <w:szCs w:val="24"/>
    </w:rPr>
  </w:style>
  <w:style w:type="table" w:styleId="TableGrid">
    <w:name w:val="Table Grid"/>
    <w:basedOn w:val="TableNormal"/>
    <w:uiPriority w:val="39"/>
    <w:rsid w:val="00C15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97482"/>
    <w:pPr>
      <w:spacing w:after="0" w:line="240" w:lineRule="auto"/>
    </w:pPr>
  </w:style>
  <w:style w:type="character" w:styleId="CommentReference">
    <w:name w:val="annotation reference"/>
    <w:basedOn w:val="DefaultParagraphFont"/>
    <w:uiPriority w:val="99"/>
    <w:semiHidden/>
    <w:unhideWhenUsed/>
    <w:rsid w:val="00400BC7"/>
    <w:rPr>
      <w:sz w:val="16"/>
      <w:szCs w:val="16"/>
    </w:rPr>
  </w:style>
  <w:style w:type="paragraph" w:styleId="CommentText">
    <w:name w:val="annotation text"/>
    <w:basedOn w:val="Normal"/>
    <w:link w:val="CommentTextChar"/>
    <w:uiPriority w:val="99"/>
    <w:unhideWhenUsed/>
    <w:rsid w:val="00400BC7"/>
    <w:pPr>
      <w:spacing w:line="240" w:lineRule="auto"/>
    </w:pPr>
    <w:rPr>
      <w:sz w:val="20"/>
      <w:szCs w:val="20"/>
    </w:rPr>
  </w:style>
  <w:style w:type="character" w:customStyle="1" w:styleId="CommentTextChar">
    <w:name w:val="Comment Text Char"/>
    <w:basedOn w:val="DefaultParagraphFont"/>
    <w:link w:val="CommentText"/>
    <w:uiPriority w:val="99"/>
    <w:rsid w:val="00400BC7"/>
    <w:rPr>
      <w:sz w:val="20"/>
      <w:szCs w:val="20"/>
    </w:rPr>
  </w:style>
  <w:style w:type="paragraph" w:styleId="CommentSubject">
    <w:name w:val="annotation subject"/>
    <w:basedOn w:val="CommentText"/>
    <w:next w:val="CommentText"/>
    <w:link w:val="CommentSubjectChar"/>
    <w:uiPriority w:val="99"/>
    <w:semiHidden/>
    <w:unhideWhenUsed/>
    <w:rsid w:val="00400BC7"/>
    <w:rPr>
      <w:b/>
      <w:bCs/>
    </w:rPr>
  </w:style>
  <w:style w:type="character" w:customStyle="1" w:styleId="CommentSubjectChar">
    <w:name w:val="Comment Subject Char"/>
    <w:basedOn w:val="CommentTextChar"/>
    <w:link w:val="CommentSubject"/>
    <w:uiPriority w:val="99"/>
    <w:semiHidden/>
    <w:rsid w:val="00400BC7"/>
    <w:rPr>
      <w:b/>
      <w:bCs/>
      <w:sz w:val="20"/>
      <w:szCs w:val="20"/>
    </w:rPr>
  </w:style>
  <w:style w:type="paragraph" w:styleId="NormalWeb">
    <w:name w:val="Normal (Web)"/>
    <w:basedOn w:val="Normal"/>
    <w:uiPriority w:val="99"/>
    <w:semiHidden/>
    <w:unhideWhenUsed/>
    <w:rsid w:val="00E41CB0"/>
    <w:rPr>
      <w:rFonts w:ascii="Times New Roman" w:hAnsi="Times New Roman" w:cs="Times New Roman"/>
      <w:sz w:val="24"/>
      <w:szCs w:val="24"/>
    </w:rPr>
  </w:style>
  <w:style w:type="character" w:styleId="Strong">
    <w:name w:val="Strong"/>
    <w:basedOn w:val="DefaultParagraphFont"/>
    <w:uiPriority w:val="22"/>
    <w:qFormat/>
    <w:rsid w:val="00E41CB0"/>
    <w:rPr>
      <w:b/>
      <w:bCs/>
    </w:rPr>
  </w:style>
  <w:style w:type="character" w:styleId="Hyperlink">
    <w:name w:val="Hyperlink"/>
    <w:basedOn w:val="DefaultParagraphFont"/>
    <w:uiPriority w:val="99"/>
    <w:unhideWhenUsed/>
    <w:rsid w:val="002D2886"/>
    <w:rPr>
      <w:color w:val="0563C1" w:themeColor="hyperlink"/>
      <w:u w:val="single"/>
    </w:rPr>
  </w:style>
  <w:style w:type="character" w:styleId="UnresolvedMention">
    <w:name w:val="Unresolved Mention"/>
    <w:basedOn w:val="DefaultParagraphFont"/>
    <w:uiPriority w:val="99"/>
    <w:semiHidden/>
    <w:unhideWhenUsed/>
    <w:rsid w:val="002D2886"/>
    <w:rPr>
      <w:color w:val="605E5C"/>
      <w:shd w:val="clear" w:color="auto" w:fill="E1DFDD"/>
    </w:rPr>
  </w:style>
  <w:style w:type="character" w:styleId="FollowedHyperlink">
    <w:name w:val="FollowedHyperlink"/>
    <w:basedOn w:val="DefaultParagraphFont"/>
    <w:uiPriority w:val="99"/>
    <w:semiHidden/>
    <w:unhideWhenUsed/>
    <w:rsid w:val="00C63C8B"/>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lliancempstg.wpenginepowered.com/resource-library/resource/14649/" TargetMode="Externa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nesdoc.unesco.org/ark:/48223/pf0000190604_fr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JXknNbS6IgJRGYGZOc4vO4TBvXg==">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1412</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Ketty Ndhlovu</dc:creator>
  <cp:lastModifiedBy>Elena Colman</cp:lastModifiedBy>
  <cp:revision>3</cp:revision>
  <dcterms:created xsi:type="dcterms:W3CDTF">2025-06-02T08:12:00Z</dcterms:created>
  <dcterms:modified xsi:type="dcterms:W3CDTF">2025-07-07T15:26:00Z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820dc528af5c25db49057c27d1a44b7421dbf855ae28b133653a048481e78673</vt:lpwstr>
  </property>
  <property fmtid="{D5CDD505-2E9C-101B-9397-08002B2CF9AE}" pid="3" name="Mendeley Document_1">
    <vt:lpwstr>True</vt:lpwstr>
  </property>
  <property fmtid="{D5CDD505-2E9C-101B-9397-08002B2CF9AE}" pid="4" name="Mendeley Citation Style_1">
    <vt:lpwstr>http://www.zotero.org/styles/vancouver</vt:lpwstr>
  </property>
  <property fmtid="{D5CDD505-2E9C-101B-9397-08002B2CF9AE}" pid="5" name="Mendeley Unique User Id_1">
    <vt:lpwstr>f411c058-73a7-35df-a6d5-9c897562a2c4</vt:lpwstr>
  </property>
  <property fmtid="{D5CDD505-2E9C-101B-9397-08002B2CF9AE}" pid="6" name="ClassificationContentMarkingFooterShapeIds">
    <vt:lpwstr>6955024d,14d6411,4382406b</vt:lpwstr>
  </property>
  <property fmtid="{D5CDD505-2E9C-101B-9397-08002B2CF9AE}" pid="7" name="ClassificationContentMarkingFooterFontProps">
    <vt:lpwstr>#000000,10,Calibri</vt:lpwstr>
  </property>
  <property fmtid="{D5CDD505-2E9C-101B-9397-08002B2CF9AE}" pid="8" name="ClassificationContentMarkingFooterText">
    <vt:lpwstr>Internal</vt:lpwstr>
  </property>
  <property fmtid="{D5CDD505-2E9C-101B-9397-08002B2CF9AE}" pid="9" name="MSIP_Label_6627b15a-80ec-4ef7-8353-f32e3c89bf3e_Enabled">
    <vt:lpwstr>true</vt:lpwstr>
  </property>
  <property fmtid="{D5CDD505-2E9C-101B-9397-08002B2CF9AE}" pid="10" name="MSIP_Label_6627b15a-80ec-4ef7-8353-f32e3c89bf3e_SetDate">
    <vt:lpwstr>2025-03-06T05:34:12Z</vt:lpwstr>
  </property>
  <property fmtid="{D5CDD505-2E9C-101B-9397-08002B2CF9AE}" pid="11" name="MSIP_Label_6627b15a-80ec-4ef7-8353-f32e3c89bf3e_Method">
    <vt:lpwstr>Privileged</vt:lpwstr>
  </property>
  <property fmtid="{D5CDD505-2E9C-101B-9397-08002B2CF9AE}" pid="12" name="MSIP_Label_6627b15a-80ec-4ef7-8353-f32e3c89bf3e_Name">
    <vt:lpwstr>IFRC Internal</vt:lpwstr>
  </property>
  <property fmtid="{D5CDD505-2E9C-101B-9397-08002B2CF9AE}" pid="13" name="MSIP_Label_6627b15a-80ec-4ef7-8353-f32e3c89bf3e_SiteId">
    <vt:lpwstr>a2b53be5-734e-4e6c-ab0d-d184f60fd917</vt:lpwstr>
  </property>
  <property fmtid="{D5CDD505-2E9C-101B-9397-08002B2CF9AE}" pid="14" name="MSIP_Label_6627b15a-80ec-4ef7-8353-f32e3c89bf3e_ActionId">
    <vt:lpwstr>a4ebf7a2-095d-4784-b676-7e9964ddce24</vt:lpwstr>
  </property>
  <property fmtid="{D5CDD505-2E9C-101B-9397-08002B2CF9AE}" pid="15" name="MSIP_Label_6627b15a-80ec-4ef7-8353-f32e3c89bf3e_ContentBits">
    <vt:lpwstr>2</vt:lpwstr>
  </property>
  <property fmtid="{D5CDD505-2E9C-101B-9397-08002B2CF9AE}" pid="16" name="MSIP_Label_6627b15a-80ec-4ef7-8353-f32e3c89bf3e_Tag">
    <vt:lpwstr>10, 0, 1, 1</vt:lpwstr>
  </property>
  <property fmtid="{D5CDD505-2E9C-101B-9397-08002B2CF9AE}" pid="17" name="ContentTypeId">
    <vt:lpwstr>0x010100BF11AF2F54683D48B47D51E7C5C20D0A</vt:lpwstr>
  </property>
  <property fmtid="{D5CDD505-2E9C-101B-9397-08002B2CF9AE}" pid="18" name="MediaServiceImageTags">
    <vt:lpwstr/>
  </property>
</Properties>
</file>