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D168A3" w:rsidRDefault="00D168A3">
      <w:pPr>
        <w:spacing w:after="0" w:line="240" w:lineRule="auto"/>
      </w:pPr>
    </w:p>
    <w:p w14:paraId="204F1C95" w14:textId="77777777" w:rsidR="009A16DF" w:rsidRDefault="009A16DF">
      <w:pPr>
        <w:spacing w:after="0" w:line="240" w:lineRule="auto"/>
        <w:rPr>
          <w:rFonts w:ascii="Calibri" w:eastAsia="Calibri" w:hAnsi="Calibri" w:cs="Calibri"/>
          <w:b/>
        </w:rPr>
      </w:pPr>
    </w:p>
    <w:p w14:paraId="00000003" w14:textId="77777777" w:rsidR="00D168A3" w:rsidRPr="0023086B" w:rsidRDefault="007D57ED">
      <w:pPr>
        <w:spacing w:after="0" w:line="240" w:lineRule="auto"/>
        <w:rPr>
          <w:rFonts w:ascii="Calibri" w:eastAsia="Calibri" w:hAnsi="Calibri" w:cs="Calibri"/>
          <w:b/>
          <w:sz w:val="28"/>
          <w:szCs w:val="28"/>
          <w:lang w:val="pt-BR"/>
        </w:rPr>
      </w:pPr>
      <w:r>
        <w:rPr>
          <w:rFonts w:ascii="Calibri" w:eastAsia="Calibri" w:hAnsi="Calibri" w:cs="Calibri"/>
          <w:b/>
          <w:bCs/>
          <w:sz w:val="28"/>
          <w:szCs w:val="28"/>
          <w:lang w:val="pt"/>
        </w:rPr>
        <w:t>Distribuição em escolas (SBD, na sigla em inglês): Plano de avaliação e mitigação de riscos</w:t>
      </w:r>
    </w:p>
    <w:p w14:paraId="00000004" w14:textId="0C59C2D5" w:rsidR="00D168A3" w:rsidRPr="0023086B" w:rsidRDefault="007D57ED">
      <w:pPr>
        <w:spacing w:after="0" w:line="240" w:lineRule="auto"/>
        <w:rPr>
          <w:rFonts w:ascii="Calibri" w:eastAsia="Calibri" w:hAnsi="Calibri" w:cs="Calibri"/>
          <w:lang w:val="pt-BR"/>
        </w:rPr>
      </w:pPr>
      <w:r>
        <w:rPr>
          <w:rFonts w:ascii="Calibri" w:eastAsia="Calibri" w:hAnsi="Calibri" w:cs="Calibri"/>
          <w:lang w:val="pt"/>
        </w:rPr>
        <w:t>V1. Maio de 2025</w:t>
      </w:r>
    </w:p>
    <w:p w14:paraId="4F145506" w14:textId="77777777" w:rsidR="007D57ED" w:rsidRPr="0023086B" w:rsidRDefault="007D57ED">
      <w:pPr>
        <w:spacing w:after="0" w:line="240" w:lineRule="auto"/>
        <w:rPr>
          <w:rFonts w:ascii="Calibri" w:eastAsia="Calibri" w:hAnsi="Calibri" w:cs="Calibri"/>
          <w:lang w:val="pt-BR"/>
        </w:rPr>
      </w:pPr>
    </w:p>
    <w:p w14:paraId="00000005" w14:textId="5D58E1A2" w:rsidR="00D168A3" w:rsidRPr="0023086B" w:rsidRDefault="007D57ED">
      <w:pPr>
        <w:spacing w:after="0" w:line="240" w:lineRule="auto"/>
        <w:rPr>
          <w:rFonts w:ascii="Calibri" w:eastAsia="Calibri" w:hAnsi="Calibri" w:cs="Calibri"/>
          <w:lang w:val="pt-BR"/>
        </w:rPr>
      </w:pPr>
      <w:r>
        <w:rPr>
          <w:rFonts w:ascii="Calibri" w:hAnsi="Calibri"/>
          <w:lang w:val="pt"/>
        </w:rPr>
        <w:t xml:space="preserve">Como parte da estratégia geral de distribuição contínua de mosquiteiros tratados com inseticida (MTI), é fundamental dispor de um plano de avaliação e mitigação de riscos abrangente. Este documento descreve os passos para a distribuição em escolas (SBD) de MTI na identificação dos principais riscos, do seu potencial impacto e das estratégias para os mitigar eficazmente. Este documento de orientação é acompanhado por uma </w:t>
      </w:r>
      <w:hyperlink r:id="rId8" w:history="1">
        <w:r w:rsidRPr="00007A48">
          <w:rPr>
            <w:rStyle w:val="Hyperlink"/>
            <w:rFonts w:ascii="Calibri" w:hAnsi="Calibri"/>
            <w:lang w:val="pt"/>
          </w:rPr>
          <w:t>ferramenta adaptável</w:t>
        </w:r>
      </w:hyperlink>
      <w:r>
        <w:rPr>
          <w:rFonts w:ascii="Calibri" w:hAnsi="Calibri"/>
          <w:lang w:val="pt"/>
        </w:rPr>
        <w:t xml:space="preserve"> (Excel), disponível para ser transferida. </w:t>
      </w:r>
    </w:p>
    <w:p w14:paraId="00000006" w14:textId="77777777" w:rsidR="00D168A3" w:rsidRPr="0023086B" w:rsidRDefault="00D168A3">
      <w:pPr>
        <w:spacing w:after="0" w:line="240" w:lineRule="auto"/>
        <w:rPr>
          <w:rFonts w:ascii="Calibri" w:eastAsia="Calibri" w:hAnsi="Calibri" w:cs="Calibri"/>
          <w:lang w:val="pt-BR"/>
        </w:rPr>
      </w:pPr>
    </w:p>
    <w:p w14:paraId="00000007" w14:textId="77777777" w:rsidR="00D168A3" w:rsidRPr="0023086B" w:rsidRDefault="007D57ED">
      <w:pPr>
        <w:widowControl w:val="0"/>
        <w:spacing w:after="0" w:line="240" w:lineRule="auto"/>
        <w:rPr>
          <w:rFonts w:ascii="Calibri" w:eastAsia="Calibri" w:hAnsi="Calibri" w:cs="Calibri"/>
          <w:b/>
          <w:sz w:val="24"/>
          <w:szCs w:val="24"/>
          <w:lang w:val="pt-BR"/>
        </w:rPr>
      </w:pPr>
      <w:r>
        <w:rPr>
          <w:rFonts w:ascii="Calibri" w:eastAsia="Calibri" w:hAnsi="Calibri" w:cs="Calibri"/>
          <w:b/>
          <w:bCs/>
          <w:sz w:val="24"/>
          <w:szCs w:val="24"/>
          <w:lang w:val="pt"/>
        </w:rPr>
        <w:t>1.</w:t>
      </w:r>
      <w:r>
        <w:rPr>
          <w:rFonts w:ascii="Calibri" w:eastAsia="Calibri" w:hAnsi="Calibri" w:cs="Calibri"/>
          <w:b/>
          <w:bCs/>
          <w:sz w:val="24"/>
          <w:szCs w:val="24"/>
          <w:lang w:val="pt"/>
        </w:rPr>
        <w:tab/>
        <w:t>Risco e distribuição de MTI em escolas</w:t>
      </w:r>
    </w:p>
    <w:p w14:paraId="00000008" w14:textId="160853C0"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 xml:space="preserve">O risco pode ser definido de várias formas. O </w:t>
      </w:r>
      <w:hyperlink r:id="rId9">
        <w:r>
          <w:rPr>
            <w:rFonts w:ascii="Calibri" w:eastAsia="Calibri" w:hAnsi="Calibri" w:cs="Calibri"/>
            <w:color w:val="0563C1"/>
            <w:u w:val="single"/>
            <w:lang w:val="pt"/>
          </w:rPr>
          <w:t>Risk Management Training Handbook</w:t>
        </w:r>
      </w:hyperlink>
      <w:r>
        <w:rPr>
          <w:rFonts w:ascii="Calibri" w:eastAsia="Calibri" w:hAnsi="Calibri" w:cs="Calibri"/>
          <w:lang w:val="pt"/>
        </w:rPr>
        <w:t xml:space="preserve"> (Manual de Formação sobre Gestão de Riscos) da UNESCO (2010) fornece a seguinte definição simples:</w:t>
      </w:r>
    </w:p>
    <w:p w14:paraId="00000009" w14:textId="77777777" w:rsidR="00D168A3" w:rsidRPr="0023086B" w:rsidRDefault="00D168A3">
      <w:pPr>
        <w:widowControl w:val="0"/>
        <w:spacing w:after="0" w:line="240" w:lineRule="auto"/>
        <w:rPr>
          <w:rFonts w:ascii="Calibri" w:eastAsia="Calibri" w:hAnsi="Calibri" w:cs="Calibri"/>
          <w:lang w:val="pt-BR"/>
        </w:rPr>
      </w:pPr>
    </w:p>
    <w:p w14:paraId="0000000A" w14:textId="77777777" w:rsidR="00D168A3" w:rsidRDefault="007D57ED">
      <w:pPr>
        <w:widowControl w:val="0"/>
        <w:spacing w:after="0" w:line="240" w:lineRule="auto"/>
        <w:rPr>
          <w:rFonts w:ascii="Calibri" w:eastAsia="Calibri" w:hAnsi="Calibri" w:cs="Calibri"/>
        </w:rPr>
      </w:pPr>
      <w:r>
        <w:rPr>
          <w:rFonts w:ascii="Calibri" w:eastAsia="Calibri" w:hAnsi="Calibri" w:cs="Calibri"/>
          <w:lang w:val="pt"/>
        </w:rPr>
        <w:t>«Risco é a expressão da probabilidade e do impacto de um acontecimento incerto, súbito e extremo que, se ocorrer, pode ter um impacto positivo (oportunidade) ou negativo (ameaça) na concretização do objetivo de um projeto ou programa» (p. 12). Isto pode ser resumido da seguinte forma:</w:t>
      </w:r>
    </w:p>
    <w:p w14:paraId="0000000B" w14:textId="77777777" w:rsidR="00D168A3" w:rsidRDefault="00D168A3">
      <w:pPr>
        <w:widowControl w:val="0"/>
        <w:spacing w:after="0" w:line="240" w:lineRule="auto"/>
        <w:rPr>
          <w:rFonts w:ascii="Calibri" w:eastAsia="Calibri" w:hAnsi="Calibri" w:cs="Calibri"/>
        </w:rPr>
      </w:pPr>
    </w:p>
    <w:tbl>
      <w:tblPr>
        <w:tblStyle w:val="a3"/>
        <w:tblW w:w="6730" w:type="dxa"/>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30"/>
      </w:tblGrid>
      <w:tr w:rsidR="00D168A3" w14:paraId="0DF07937" w14:textId="77777777">
        <w:trPr>
          <w:trHeight w:val="309"/>
        </w:trPr>
        <w:tc>
          <w:tcPr>
            <w:tcW w:w="6730" w:type="dxa"/>
            <w:vAlign w:val="center"/>
          </w:tcPr>
          <w:p w14:paraId="0000000C" w14:textId="03E7FBD6" w:rsidR="00D168A3" w:rsidRDefault="007D57ED">
            <w:pPr>
              <w:spacing w:after="0" w:line="240" w:lineRule="auto"/>
              <w:rPr>
                <w:rFonts w:ascii="Calibri" w:eastAsia="Calibri" w:hAnsi="Calibri" w:cs="Calibri"/>
                <w:b/>
              </w:rPr>
            </w:pPr>
            <w:r>
              <w:rPr>
                <w:rFonts w:ascii="Calibri" w:eastAsia="Calibri" w:hAnsi="Calibri" w:cs="Calibri"/>
                <w:b/>
                <w:bCs/>
                <w:lang w:val="pt"/>
              </w:rPr>
              <w:t>Risco = Probabilidade x Impacto</w:t>
            </w:r>
          </w:p>
        </w:tc>
      </w:tr>
    </w:tbl>
    <w:p w14:paraId="0000000D" w14:textId="77777777" w:rsidR="00D168A3" w:rsidRDefault="00D168A3">
      <w:pPr>
        <w:widowControl w:val="0"/>
        <w:spacing w:after="0" w:line="240" w:lineRule="auto"/>
        <w:rPr>
          <w:rFonts w:ascii="Calibri" w:eastAsia="Calibri" w:hAnsi="Calibri" w:cs="Calibri"/>
        </w:rPr>
      </w:pPr>
    </w:p>
    <w:p w14:paraId="0000000E" w14:textId="5881BB80" w:rsidR="00D168A3" w:rsidRDefault="007D57ED">
      <w:pPr>
        <w:widowControl w:val="0"/>
        <w:spacing w:after="0" w:line="240" w:lineRule="auto"/>
        <w:rPr>
          <w:rFonts w:ascii="Calibri" w:eastAsia="Calibri" w:hAnsi="Calibri" w:cs="Calibri"/>
          <w:b/>
        </w:rPr>
      </w:pPr>
      <w:r>
        <w:rPr>
          <w:rFonts w:ascii="Calibri" w:eastAsia="Calibri" w:hAnsi="Calibri" w:cs="Calibri"/>
          <w:b/>
          <w:bCs/>
          <w:lang w:val="pt"/>
        </w:rPr>
        <w:t>Porquê gerir o risco?</w:t>
      </w:r>
    </w:p>
    <w:p w14:paraId="0000000F"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 xml:space="preserve">Este documento centra-se nos impactos negativos, ou ameaças, colocados pelos riscos identificáveis. A identificação e a análise do risco visam preparar proativamente a mitigação de riscos, com a intenção de reduzir os efeitos adversos, tomando medidas para diminuir a probabilidade de ocorrência de um evento de risco e/ou reduzir o impacto, caso este ocorra. Por exemplo, a mitigação de riscos pode ajudar a minimizar os possíveis impactos negativos sobre os diferentes aspetos interligados da distribuição de MTI, como más condições das estradas que provocam atrasos no transporte e na entrega, ou a exclusão das escolas secundárias da população-alvo. Identificar estes riscos atempadamente e desenvolver medidas de mitigação nas fases iniciais do planeamento da distribuição em escolas é crucial para uma implementação bem-sucedida. </w:t>
      </w:r>
    </w:p>
    <w:p w14:paraId="00000010" w14:textId="77777777" w:rsidR="00D168A3" w:rsidRPr="0023086B" w:rsidRDefault="00D168A3">
      <w:pPr>
        <w:widowControl w:val="0"/>
        <w:spacing w:after="0" w:line="240" w:lineRule="auto"/>
        <w:rPr>
          <w:rFonts w:ascii="Calibri" w:eastAsia="Calibri" w:hAnsi="Calibri" w:cs="Calibri"/>
          <w:lang w:val="pt-BR"/>
        </w:rPr>
      </w:pPr>
    </w:p>
    <w:p w14:paraId="00000011" w14:textId="0C58242C"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O Quadro 1 abaixo apresenta algumas categorias gerais de risco a considerar, juntamente com exemplos específicos:</w:t>
      </w:r>
    </w:p>
    <w:p w14:paraId="00000012" w14:textId="064FFDD1" w:rsidR="00D168A3" w:rsidRPr="0023086B" w:rsidRDefault="00D168A3">
      <w:pPr>
        <w:spacing w:after="0" w:line="240" w:lineRule="auto"/>
        <w:rPr>
          <w:rFonts w:ascii="Calibri" w:eastAsia="Calibri" w:hAnsi="Calibri" w:cs="Calibri"/>
          <w:lang w:val="pt-BR"/>
        </w:rPr>
      </w:pPr>
    </w:p>
    <w:p w14:paraId="00000013" w14:textId="4D495BC6" w:rsidR="00D168A3" w:rsidRDefault="007D57ED">
      <w:pPr>
        <w:widowControl w:val="0"/>
        <w:spacing w:after="0" w:line="240" w:lineRule="auto"/>
        <w:rPr>
          <w:rFonts w:ascii="Calibri" w:eastAsia="Calibri" w:hAnsi="Calibri" w:cs="Calibri"/>
        </w:rPr>
      </w:pPr>
      <w:r>
        <w:rPr>
          <w:rFonts w:ascii="Calibri" w:eastAsia="Calibri" w:hAnsi="Calibri" w:cs="Calibri"/>
          <w:i/>
          <w:iCs/>
          <w:sz w:val="18"/>
          <w:szCs w:val="18"/>
          <w:lang w:val="pt"/>
        </w:rPr>
        <w:t>Quadro 1: Categorias de risco</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9"/>
        <w:gridCol w:w="6521"/>
      </w:tblGrid>
      <w:tr w:rsidR="00D168A3" w:rsidRPr="00DF4E36" w14:paraId="106CC0B0" w14:textId="77777777">
        <w:tc>
          <w:tcPr>
            <w:tcW w:w="2829" w:type="dxa"/>
            <w:shd w:val="clear" w:color="auto" w:fill="auto"/>
          </w:tcPr>
          <w:p w14:paraId="00000014"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pt"/>
              </w:rPr>
              <w:t>Categoria</w:t>
            </w:r>
          </w:p>
        </w:tc>
        <w:tc>
          <w:tcPr>
            <w:tcW w:w="6521" w:type="dxa"/>
            <w:shd w:val="clear" w:color="auto" w:fill="auto"/>
          </w:tcPr>
          <w:p w14:paraId="00000015"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pt"/>
              </w:rPr>
              <w:t>Exemplos</w:t>
            </w:r>
          </w:p>
        </w:tc>
      </w:tr>
      <w:tr w:rsidR="00D168A3" w:rsidRPr="00007A48" w14:paraId="7160BA2D" w14:textId="77777777">
        <w:trPr>
          <w:trHeight w:val="884"/>
        </w:trPr>
        <w:tc>
          <w:tcPr>
            <w:tcW w:w="2829" w:type="dxa"/>
            <w:shd w:val="clear" w:color="auto" w:fill="auto"/>
          </w:tcPr>
          <w:p w14:paraId="00000016"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Fatores estratégicos:</w:t>
            </w:r>
          </w:p>
          <w:p w14:paraId="00000017"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 xml:space="preserve">riscos que afetam toda a estratégia planeada para a campanha </w:t>
            </w:r>
          </w:p>
        </w:tc>
        <w:tc>
          <w:tcPr>
            <w:tcW w:w="6521" w:type="dxa"/>
            <w:shd w:val="clear" w:color="auto" w:fill="auto"/>
          </w:tcPr>
          <w:p w14:paraId="00000018" w14:textId="2AA4AA0B"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Ampliar a distribuição em escolas com um número limitado de parceiros competentes para apoiar a expansão.</w:t>
            </w:r>
          </w:p>
          <w:p w14:paraId="00000019" w14:textId="2C707351"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Desalinhamento com o calendário escolar (por exemplo, distribuição em escolas planeada durante os exames).</w:t>
            </w:r>
          </w:p>
        </w:tc>
      </w:tr>
      <w:tr w:rsidR="00D168A3" w:rsidRPr="00007A48" w14:paraId="230D261E" w14:textId="77777777">
        <w:tc>
          <w:tcPr>
            <w:tcW w:w="2829" w:type="dxa"/>
            <w:shd w:val="clear" w:color="auto" w:fill="auto"/>
          </w:tcPr>
          <w:p w14:paraId="0000001A"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Fatores operacionais:</w:t>
            </w:r>
          </w:p>
          <w:p w14:paraId="0000001B"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riscos que afetam, total ou parcialmente, a capacidade de implementar a operação conforme planeado</w:t>
            </w:r>
          </w:p>
        </w:tc>
        <w:tc>
          <w:tcPr>
            <w:tcW w:w="6521" w:type="dxa"/>
            <w:shd w:val="clear" w:color="auto" w:fill="auto"/>
          </w:tcPr>
          <w:p w14:paraId="0000001C"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Cobertura orçamental insuficiente para todos os aspetos operacionais.</w:t>
            </w:r>
          </w:p>
          <w:p w14:paraId="0000001D"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Armazenamento, transporte ou pessoal inadequados para executar o plano de forma eficaz.</w:t>
            </w:r>
          </w:p>
          <w:p w14:paraId="0000001E"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 xml:space="preserve">Expectativas irrealistas em relação à capacidade operacional, </w:t>
            </w:r>
            <w:r>
              <w:rPr>
                <w:rFonts w:ascii="Calibri" w:eastAsia="Calibri" w:hAnsi="Calibri" w:cs="Calibri"/>
                <w:lang w:val="pt"/>
              </w:rPr>
              <w:lastRenderedPageBreak/>
              <w:t>resultando em atrasos e falhas.</w:t>
            </w:r>
          </w:p>
          <w:p w14:paraId="0000001F" w14:textId="497DEA45"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Alteração no contexto da área servida, como insegurança, catástrofe natural ou provocada pelo ser humano.</w:t>
            </w:r>
          </w:p>
        </w:tc>
      </w:tr>
      <w:tr w:rsidR="00D168A3" w:rsidRPr="00007A48" w14:paraId="366E9262" w14:textId="77777777">
        <w:tc>
          <w:tcPr>
            <w:tcW w:w="2829" w:type="dxa"/>
            <w:shd w:val="clear" w:color="auto" w:fill="auto"/>
          </w:tcPr>
          <w:p w14:paraId="00000020"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lastRenderedPageBreak/>
              <w:t>Fatores financeiros:</w:t>
            </w:r>
          </w:p>
          <w:p w14:paraId="00000021"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riscos associados ao orçamento e ao financiamento</w:t>
            </w:r>
          </w:p>
        </w:tc>
        <w:tc>
          <w:tcPr>
            <w:tcW w:w="6521" w:type="dxa"/>
            <w:shd w:val="clear" w:color="auto" w:fill="auto"/>
          </w:tcPr>
          <w:p w14:paraId="00000022"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Orçamentos subestimados que não refletem os custos reais.</w:t>
            </w:r>
          </w:p>
          <w:p w14:paraId="00000023"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 xml:space="preserve">Atrasos na receção de financiamento, levando a atrasos na aquisição. </w:t>
            </w:r>
          </w:p>
          <w:p w14:paraId="00000024"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Flutuações cambiais que afetam os custos.</w:t>
            </w:r>
          </w:p>
          <w:p w14:paraId="00000025" w14:textId="3B8A1EAD"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Atrasos no desalfandegamento, resultando em encargos de sobreestadia.</w:t>
            </w:r>
          </w:p>
          <w:p w14:paraId="00000026"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 xml:space="preserve">Aumento dos custos de armazenamento devido a atrasos na implementação da campanha. </w:t>
            </w:r>
          </w:p>
          <w:p w14:paraId="00000027"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 xml:space="preserve">Segurança inadequada nos armazéns, levando ao roubo ou perda de MTI. </w:t>
            </w:r>
          </w:p>
          <w:p w14:paraId="00000028" w14:textId="286D21E6"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Manutenção inadequada de registos, resultando em problemas de responsabilização.</w:t>
            </w:r>
          </w:p>
          <w:p w14:paraId="00000029"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Má gestão e desperdício dos recursos disponíveis.</w:t>
            </w:r>
          </w:p>
        </w:tc>
      </w:tr>
      <w:tr w:rsidR="00D168A3" w:rsidRPr="00007A48" w14:paraId="4AF289D9" w14:textId="77777777">
        <w:tc>
          <w:tcPr>
            <w:tcW w:w="2829" w:type="dxa"/>
            <w:shd w:val="clear" w:color="auto" w:fill="auto"/>
          </w:tcPr>
          <w:p w14:paraId="0000002A"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Risco de conformidade:</w:t>
            </w:r>
          </w:p>
          <w:p w14:paraId="0000002B"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riscos associados a sanções legais quando existem ações em desacordo com leis, regulamentos ou políticas internas</w:t>
            </w:r>
          </w:p>
        </w:tc>
        <w:tc>
          <w:tcPr>
            <w:tcW w:w="6521" w:type="dxa"/>
            <w:shd w:val="clear" w:color="auto" w:fill="auto"/>
          </w:tcPr>
          <w:p w14:paraId="0000002C"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Processos inadequados de desembolso e justificação financeira.</w:t>
            </w:r>
          </w:p>
          <w:p w14:paraId="0000002D"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 xml:space="preserve">Utilização de modelos contratuais ou procedimentos de aquisição incorretos. </w:t>
            </w:r>
          </w:p>
          <w:p w14:paraId="0000002E" w14:textId="77777777" w:rsidR="00D168A3" w:rsidRPr="0023086B" w:rsidRDefault="007D57ED">
            <w:pPr>
              <w:widowControl w:val="0"/>
              <w:numPr>
                <w:ilvl w:val="0"/>
                <w:numId w:val="3"/>
              </w:numPr>
              <w:spacing w:after="0" w:line="240" w:lineRule="auto"/>
              <w:rPr>
                <w:rFonts w:ascii="Calibri" w:eastAsia="Calibri" w:hAnsi="Calibri" w:cs="Calibri"/>
                <w:lang w:val="pt-BR"/>
              </w:rPr>
            </w:pPr>
            <w:r>
              <w:rPr>
                <w:rFonts w:ascii="Calibri" w:eastAsia="Calibri" w:hAnsi="Calibri" w:cs="Calibri"/>
                <w:lang w:val="pt"/>
              </w:rPr>
              <w:t>Incumprimento dos procedimentos legais de aquisição para fornecimentos locais ou internacionais.</w:t>
            </w:r>
          </w:p>
        </w:tc>
      </w:tr>
    </w:tbl>
    <w:p w14:paraId="0000002F" w14:textId="77777777" w:rsidR="00D168A3" w:rsidRPr="0023086B" w:rsidRDefault="00D168A3">
      <w:pPr>
        <w:widowControl w:val="0"/>
        <w:spacing w:after="0" w:line="240" w:lineRule="auto"/>
        <w:rPr>
          <w:rFonts w:ascii="Calibri" w:eastAsia="Calibri" w:hAnsi="Calibri" w:cs="Calibri"/>
          <w:lang w:val="pt-BR"/>
        </w:rPr>
      </w:pPr>
    </w:p>
    <w:p w14:paraId="00000030" w14:textId="004ABC9E"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b/>
          <w:bCs/>
          <w:lang w:val="pt"/>
        </w:rPr>
        <w:t>Nota:</w:t>
      </w:r>
      <w:r>
        <w:rPr>
          <w:rFonts w:ascii="Calibri" w:eastAsia="Calibri" w:hAnsi="Calibri" w:cs="Calibri"/>
          <w:lang w:val="pt"/>
        </w:rPr>
        <w:t xml:space="preserve"> alguns riscos podem enquadrar-se em várias categorias. Os países podem também acrescentar outras categorias em função do contexto. Por exemplo, o risco de roubo ou apropriação indevida de MTI antes da distribuição pode ser classificado como «reputacional» quando esse risco possa causar danos à reputação de determinados parceiros, além do impacto operacional de haver menos MTI para distribuição (pressupondo que os MTI perdidos não sejam recuperados).</w:t>
      </w:r>
    </w:p>
    <w:p w14:paraId="00000031" w14:textId="77777777" w:rsidR="00D168A3" w:rsidRPr="0023086B" w:rsidRDefault="00D168A3">
      <w:pPr>
        <w:widowControl w:val="0"/>
        <w:spacing w:after="0" w:line="240" w:lineRule="auto"/>
        <w:rPr>
          <w:rFonts w:ascii="Calibri" w:eastAsia="Calibri" w:hAnsi="Calibri" w:cs="Calibri"/>
          <w:lang w:val="pt-BR"/>
        </w:rPr>
      </w:pPr>
    </w:p>
    <w:p w14:paraId="00000032" w14:textId="314E3256" w:rsidR="00D168A3" w:rsidRPr="0023086B" w:rsidRDefault="007D57ED">
      <w:pPr>
        <w:spacing w:after="0" w:line="240" w:lineRule="auto"/>
        <w:rPr>
          <w:rFonts w:ascii="Calibri" w:eastAsia="Calibri" w:hAnsi="Calibri" w:cs="Calibri"/>
          <w:b/>
          <w:lang w:val="pt-BR"/>
        </w:rPr>
      </w:pPr>
      <w:r>
        <w:rPr>
          <w:rFonts w:ascii="Calibri" w:eastAsia="Calibri" w:hAnsi="Calibri" w:cs="Calibri"/>
          <w:b/>
          <w:bCs/>
          <w:lang w:val="pt"/>
        </w:rPr>
        <w:t>Componentes do risco: probabilidade e impacto</w:t>
      </w:r>
    </w:p>
    <w:p w14:paraId="00000033" w14:textId="4E32B68A" w:rsidR="00D168A3" w:rsidRPr="0023086B" w:rsidRDefault="007D57ED">
      <w:pPr>
        <w:spacing w:after="0" w:line="240" w:lineRule="auto"/>
        <w:rPr>
          <w:rFonts w:ascii="Calibri" w:eastAsia="Calibri" w:hAnsi="Calibri" w:cs="Calibri"/>
          <w:lang w:val="pt-BR"/>
        </w:rPr>
      </w:pPr>
      <w:r>
        <w:rPr>
          <w:rFonts w:ascii="Calibri" w:eastAsia="Calibri" w:hAnsi="Calibri" w:cs="Calibri"/>
          <w:lang w:val="pt"/>
        </w:rPr>
        <w:t>Para cada risco identificado, devem ser avaliados dois elementos fundamentais:</w:t>
      </w:r>
    </w:p>
    <w:p w14:paraId="00000034" w14:textId="0A91AE5E" w:rsidR="00D168A3" w:rsidRPr="0023086B" w:rsidRDefault="007D57ED">
      <w:pPr>
        <w:numPr>
          <w:ilvl w:val="0"/>
          <w:numId w:val="2"/>
        </w:numPr>
        <w:pBdr>
          <w:top w:val="nil"/>
          <w:left w:val="nil"/>
          <w:bottom w:val="nil"/>
          <w:right w:val="nil"/>
          <w:between w:val="nil"/>
        </w:pBdr>
        <w:spacing w:after="0" w:line="240" w:lineRule="auto"/>
        <w:rPr>
          <w:rFonts w:ascii="Calibri" w:eastAsia="Calibri" w:hAnsi="Calibri" w:cs="Calibri"/>
          <w:color w:val="000000"/>
          <w:lang w:val="pt-BR"/>
        </w:rPr>
      </w:pPr>
      <w:r>
        <w:rPr>
          <w:rFonts w:ascii="Calibri" w:eastAsia="Calibri" w:hAnsi="Calibri" w:cs="Calibri"/>
          <w:color w:val="000000"/>
          <w:lang w:val="pt"/>
        </w:rPr>
        <w:t>Probabilidade: a probabilidade de ocorrência do risco</w:t>
      </w:r>
    </w:p>
    <w:p w14:paraId="00000035" w14:textId="77777777" w:rsidR="00D168A3" w:rsidRPr="0023086B" w:rsidRDefault="007D57ED">
      <w:pPr>
        <w:numPr>
          <w:ilvl w:val="0"/>
          <w:numId w:val="2"/>
        </w:numPr>
        <w:pBdr>
          <w:top w:val="nil"/>
          <w:left w:val="nil"/>
          <w:bottom w:val="nil"/>
          <w:right w:val="nil"/>
          <w:between w:val="nil"/>
        </w:pBdr>
        <w:spacing w:after="0" w:line="240" w:lineRule="auto"/>
        <w:rPr>
          <w:rFonts w:ascii="Calibri" w:eastAsia="Calibri" w:hAnsi="Calibri" w:cs="Calibri"/>
          <w:color w:val="000000"/>
          <w:lang w:val="pt-BR"/>
        </w:rPr>
      </w:pPr>
      <w:r>
        <w:rPr>
          <w:rFonts w:ascii="Calibri" w:eastAsia="Calibri" w:hAnsi="Calibri" w:cs="Calibri"/>
          <w:color w:val="000000"/>
          <w:lang w:val="pt"/>
        </w:rPr>
        <w:t>Impacto: a gravidade das consequências se o risco ocorrer</w:t>
      </w:r>
    </w:p>
    <w:p w14:paraId="00000036" w14:textId="77777777" w:rsidR="00D168A3" w:rsidRPr="0023086B" w:rsidRDefault="00D168A3">
      <w:pPr>
        <w:pBdr>
          <w:top w:val="nil"/>
          <w:left w:val="nil"/>
          <w:bottom w:val="nil"/>
          <w:right w:val="nil"/>
          <w:between w:val="nil"/>
        </w:pBdr>
        <w:spacing w:after="0" w:line="240" w:lineRule="auto"/>
        <w:rPr>
          <w:rFonts w:ascii="Calibri" w:eastAsia="Calibri" w:hAnsi="Calibri" w:cs="Calibri"/>
          <w:color w:val="000000"/>
          <w:lang w:val="pt-BR"/>
        </w:rPr>
      </w:pPr>
    </w:p>
    <w:p w14:paraId="00000037" w14:textId="11DB1309" w:rsidR="00D168A3" w:rsidRPr="0023086B" w:rsidRDefault="007D57ED">
      <w:pPr>
        <w:pBdr>
          <w:top w:val="nil"/>
          <w:left w:val="nil"/>
          <w:bottom w:val="nil"/>
          <w:right w:val="nil"/>
          <w:between w:val="nil"/>
        </w:pBdr>
        <w:spacing w:after="0" w:line="240" w:lineRule="auto"/>
        <w:rPr>
          <w:rFonts w:ascii="Calibri" w:eastAsia="Calibri" w:hAnsi="Calibri" w:cs="Calibri"/>
          <w:color w:val="000000"/>
          <w:lang w:val="pt-BR"/>
        </w:rPr>
      </w:pPr>
      <w:r>
        <w:rPr>
          <w:rFonts w:ascii="Calibri" w:eastAsia="Calibri" w:hAnsi="Calibri" w:cs="Calibri"/>
          <w:color w:val="000000"/>
          <w:lang w:val="pt"/>
        </w:rPr>
        <w:t>A forma aceite de categorizar ou classificar a probabilidade e o impacto é através de um «mapa térmico», conforme se segue:</w:t>
      </w:r>
    </w:p>
    <w:p w14:paraId="00000038" w14:textId="77777777" w:rsidR="00D168A3" w:rsidRPr="0023086B" w:rsidRDefault="00D168A3">
      <w:pPr>
        <w:pBdr>
          <w:top w:val="nil"/>
          <w:left w:val="nil"/>
          <w:bottom w:val="nil"/>
          <w:right w:val="nil"/>
          <w:between w:val="nil"/>
        </w:pBdr>
        <w:spacing w:after="0" w:line="240" w:lineRule="auto"/>
        <w:rPr>
          <w:rFonts w:ascii="Calibri" w:eastAsia="Calibri" w:hAnsi="Calibri" w:cs="Calibri"/>
          <w:color w:val="000000"/>
          <w:lang w:val="pt-BR"/>
        </w:rPr>
      </w:pPr>
    </w:p>
    <w:p w14:paraId="00000039" w14:textId="77777777" w:rsidR="00D168A3" w:rsidRDefault="007D57ED">
      <w:pPr>
        <w:pBdr>
          <w:top w:val="nil"/>
          <w:left w:val="nil"/>
          <w:bottom w:val="nil"/>
          <w:right w:val="nil"/>
          <w:between w:val="nil"/>
        </w:pBdr>
        <w:spacing w:after="0" w:line="240" w:lineRule="auto"/>
        <w:rPr>
          <w:rFonts w:ascii="Calibri" w:eastAsia="Calibri" w:hAnsi="Calibri" w:cs="Calibri"/>
          <w:b/>
          <w:i/>
          <w:color w:val="000000"/>
        </w:rPr>
      </w:pPr>
      <w:r>
        <w:rPr>
          <w:rFonts w:ascii="Calibri" w:eastAsia="Calibri" w:hAnsi="Calibri" w:cs="Calibri"/>
          <w:b/>
          <w:bCs/>
          <w:i/>
          <w:iCs/>
          <w:color w:val="000000"/>
          <w:lang w:val="pt"/>
        </w:rPr>
        <w:t>Mapa térmico</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D168A3" w14:paraId="00B94B6B" w14:textId="77777777">
        <w:tc>
          <w:tcPr>
            <w:tcW w:w="1870" w:type="dxa"/>
          </w:tcPr>
          <w:p w14:paraId="0000003A" w14:textId="77777777" w:rsidR="00D168A3" w:rsidRDefault="00D168A3">
            <w:pPr>
              <w:rPr>
                <w:rFonts w:ascii="Calibri" w:eastAsia="Calibri" w:hAnsi="Calibri" w:cs="Calibri"/>
                <w:color w:val="000000"/>
              </w:rPr>
            </w:pPr>
          </w:p>
        </w:tc>
        <w:tc>
          <w:tcPr>
            <w:tcW w:w="7480" w:type="dxa"/>
            <w:gridSpan w:val="4"/>
          </w:tcPr>
          <w:p w14:paraId="0000003B" w14:textId="77777777" w:rsidR="00D168A3" w:rsidRDefault="007D57ED">
            <w:pPr>
              <w:jc w:val="center"/>
              <w:rPr>
                <w:rFonts w:ascii="Calibri" w:eastAsia="Calibri" w:hAnsi="Calibri" w:cs="Calibri"/>
                <w:color w:val="000000"/>
              </w:rPr>
            </w:pPr>
            <w:r>
              <w:rPr>
                <w:rFonts w:ascii="Calibri" w:eastAsia="Calibri" w:hAnsi="Calibri" w:cs="Calibri"/>
                <w:color w:val="000000"/>
                <w:lang w:val="pt"/>
              </w:rPr>
              <w:t>Impacto</w:t>
            </w:r>
          </w:p>
        </w:tc>
      </w:tr>
      <w:tr w:rsidR="00D168A3" w14:paraId="5F8EEAB6" w14:textId="77777777">
        <w:tc>
          <w:tcPr>
            <w:tcW w:w="1870" w:type="dxa"/>
          </w:tcPr>
          <w:p w14:paraId="0000003F" w14:textId="77777777" w:rsidR="00D168A3" w:rsidRDefault="007D57ED">
            <w:pPr>
              <w:rPr>
                <w:rFonts w:ascii="Calibri" w:eastAsia="Calibri" w:hAnsi="Calibri" w:cs="Calibri"/>
                <w:color w:val="000000"/>
              </w:rPr>
            </w:pPr>
            <w:r>
              <w:rPr>
                <w:rFonts w:ascii="Calibri" w:eastAsia="Calibri" w:hAnsi="Calibri" w:cs="Calibri"/>
                <w:color w:val="000000"/>
                <w:lang w:val="pt"/>
              </w:rPr>
              <w:t>Probabilidade</w:t>
            </w:r>
          </w:p>
        </w:tc>
        <w:tc>
          <w:tcPr>
            <w:tcW w:w="1870" w:type="dxa"/>
          </w:tcPr>
          <w:p w14:paraId="00000040" w14:textId="77777777" w:rsidR="00D168A3" w:rsidRDefault="007D57ED">
            <w:pPr>
              <w:rPr>
                <w:rFonts w:ascii="Calibri" w:eastAsia="Calibri" w:hAnsi="Calibri" w:cs="Calibri"/>
                <w:color w:val="000000"/>
              </w:rPr>
            </w:pPr>
            <w:r>
              <w:rPr>
                <w:rFonts w:ascii="Calibri" w:eastAsia="Calibri" w:hAnsi="Calibri" w:cs="Calibri"/>
                <w:color w:val="000000"/>
                <w:lang w:val="pt"/>
              </w:rPr>
              <w:t>1 Negligenciável</w:t>
            </w:r>
          </w:p>
        </w:tc>
        <w:tc>
          <w:tcPr>
            <w:tcW w:w="1870" w:type="dxa"/>
          </w:tcPr>
          <w:p w14:paraId="00000041" w14:textId="77777777" w:rsidR="00D168A3" w:rsidRDefault="007D57ED">
            <w:pPr>
              <w:rPr>
                <w:rFonts w:ascii="Calibri" w:eastAsia="Calibri" w:hAnsi="Calibri" w:cs="Calibri"/>
                <w:color w:val="000000"/>
              </w:rPr>
            </w:pPr>
            <w:r>
              <w:rPr>
                <w:rFonts w:ascii="Calibri" w:eastAsia="Calibri" w:hAnsi="Calibri" w:cs="Calibri"/>
                <w:color w:val="000000"/>
                <w:lang w:val="pt"/>
              </w:rPr>
              <w:t>2 Insignificante</w:t>
            </w:r>
          </w:p>
        </w:tc>
        <w:tc>
          <w:tcPr>
            <w:tcW w:w="1870" w:type="dxa"/>
          </w:tcPr>
          <w:p w14:paraId="00000042" w14:textId="77777777" w:rsidR="00D168A3" w:rsidRDefault="007D57ED">
            <w:pPr>
              <w:rPr>
                <w:rFonts w:ascii="Calibri" w:eastAsia="Calibri" w:hAnsi="Calibri" w:cs="Calibri"/>
                <w:color w:val="000000"/>
              </w:rPr>
            </w:pPr>
            <w:r>
              <w:rPr>
                <w:rFonts w:ascii="Calibri" w:eastAsia="Calibri" w:hAnsi="Calibri" w:cs="Calibri"/>
                <w:color w:val="000000"/>
                <w:lang w:val="pt"/>
              </w:rPr>
              <w:t>3 Moderado</w:t>
            </w:r>
          </w:p>
        </w:tc>
        <w:tc>
          <w:tcPr>
            <w:tcW w:w="1870" w:type="dxa"/>
          </w:tcPr>
          <w:p w14:paraId="00000043" w14:textId="77777777" w:rsidR="00D168A3" w:rsidRDefault="007D57ED">
            <w:pPr>
              <w:rPr>
                <w:rFonts w:ascii="Calibri" w:eastAsia="Calibri" w:hAnsi="Calibri" w:cs="Calibri"/>
                <w:color w:val="000000"/>
              </w:rPr>
            </w:pPr>
            <w:r>
              <w:rPr>
                <w:rFonts w:ascii="Calibri" w:eastAsia="Calibri" w:hAnsi="Calibri" w:cs="Calibri"/>
                <w:color w:val="000000"/>
                <w:lang w:val="pt"/>
              </w:rPr>
              <w:t>4 Significativo</w:t>
            </w:r>
          </w:p>
        </w:tc>
      </w:tr>
      <w:tr w:rsidR="00D168A3" w14:paraId="08CF33B8" w14:textId="77777777">
        <w:tc>
          <w:tcPr>
            <w:tcW w:w="1870" w:type="dxa"/>
          </w:tcPr>
          <w:p w14:paraId="00000044" w14:textId="77777777" w:rsidR="00D168A3" w:rsidRDefault="007D57ED">
            <w:pPr>
              <w:rPr>
                <w:rFonts w:ascii="Calibri" w:eastAsia="Calibri" w:hAnsi="Calibri" w:cs="Calibri"/>
                <w:color w:val="000000"/>
              </w:rPr>
            </w:pPr>
            <w:r>
              <w:rPr>
                <w:rFonts w:ascii="Calibri" w:eastAsia="Calibri" w:hAnsi="Calibri" w:cs="Calibri"/>
                <w:color w:val="000000"/>
                <w:lang w:val="pt"/>
              </w:rPr>
              <w:t>1 Improvável</w:t>
            </w:r>
          </w:p>
        </w:tc>
        <w:tc>
          <w:tcPr>
            <w:tcW w:w="1870" w:type="dxa"/>
            <w:shd w:val="clear" w:color="auto" w:fill="92D050"/>
          </w:tcPr>
          <w:p w14:paraId="00000045" w14:textId="77777777" w:rsidR="00D168A3" w:rsidRDefault="00D168A3">
            <w:pPr>
              <w:rPr>
                <w:rFonts w:ascii="Calibri" w:eastAsia="Calibri" w:hAnsi="Calibri" w:cs="Calibri"/>
                <w:color w:val="000000"/>
              </w:rPr>
            </w:pPr>
          </w:p>
        </w:tc>
        <w:tc>
          <w:tcPr>
            <w:tcW w:w="1870" w:type="dxa"/>
            <w:shd w:val="clear" w:color="auto" w:fill="92D050"/>
          </w:tcPr>
          <w:p w14:paraId="00000046" w14:textId="77777777" w:rsidR="00D168A3" w:rsidRDefault="00D168A3">
            <w:pPr>
              <w:rPr>
                <w:rFonts w:ascii="Calibri" w:eastAsia="Calibri" w:hAnsi="Calibri" w:cs="Calibri"/>
                <w:color w:val="000000"/>
              </w:rPr>
            </w:pPr>
          </w:p>
        </w:tc>
        <w:tc>
          <w:tcPr>
            <w:tcW w:w="1870" w:type="dxa"/>
            <w:shd w:val="clear" w:color="auto" w:fill="FFFF00"/>
          </w:tcPr>
          <w:p w14:paraId="00000047" w14:textId="77777777" w:rsidR="00D168A3" w:rsidRDefault="00D168A3">
            <w:pPr>
              <w:rPr>
                <w:rFonts w:ascii="Calibri" w:eastAsia="Calibri" w:hAnsi="Calibri" w:cs="Calibri"/>
                <w:color w:val="000000"/>
              </w:rPr>
            </w:pPr>
          </w:p>
        </w:tc>
        <w:tc>
          <w:tcPr>
            <w:tcW w:w="1870" w:type="dxa"/>
            <w:shd w:val="clear" w:color="auto" w:fill="FFFF00"/>
          </w:tcPr>
          <w:p w14:paraId="00000048" w14:textId="77777777" w:rsidR="00D168A3" w:rsidRDefault="00D168A3">
            <w:pPr>
              <w:rPr>
                <w:rFonts w:ascii="Calibri" w:eastAsia="Calibri" w:hAnsi="Calibri" w:cs="Calibri"/>
                <w:color w:val="000000"/>
              </w:rPr>
            </w:pPr>
          </w:p>
        </w:tc>
      </w:tr>
      <w:tr w:rsidR="00D168A3" w14:paraId="0FFFD27E" w14:textId="77777777">
        <w:tc>
          <w:tcPr>
            <w:tcW w:w="1870" w:type="dxa"/>
          </w:tcPr>
          <w:p w14:paraId="00000049" w14:textId="77777777" w:rsidR="00D168A3" w:rsidRDefault="007D57ED">
            <w:pPr>
              <w:rPr>
                <w:rFonts w:ascii="Calibri" w:eastAsia="Calibri" w:hAnsi="Calibri" w:cs="Calibri"/>
                <w:color w:val="000000"/>
              </w:rPr>
            </w:pPr>
            <w:r>
              <w:rPr>
                <w:rFonts w:ascii="Calibri" w:eastAsia="Calibri" w:hAnsi="Calibri" w:cs="Calibri"/>
                <w:color w:val="000000"/>
                <w:lang w:val="pt"/>
              </w:rPr>
              <w:t>2 Possível</w:t>
            </w:r>
          </w:p>
        </w:tc>
        <w:tc>
          <w:tcPr>
            <w:tcW w:w="1870" w:type="dxa"/>
            <w:shd w:val="clear" w:color="auto" w:fill="92D050"/>
          </w:tcPr>
          <w:p w14:paraId="0000004A" w14:textId="77777777" w:rsidR="00D168A3" w:rsidRDefault="00D168A3">
            <w:pPr>
              <w:rPr>
                <w:rFonts w:ascii="Calibri" w:eastAsia="Calibri" w:hAnsi="Calibri" w:cs="Calibri"/>
                <w:color w:val="000000"/>
              </w:rPr>
            </w:pPr>
          </w:p>
        </w:tc>
        <w:tc>
          <w:tcPr>
            <w:tcW w:w="1870" w:type="dxa"/>
            <w:shd w:val="clear" w:color="auto" w:fill="FFFF00"/>
          </w:tcPr>
          <w:p w14:paraId="0000004B" w14:textId="77777777" w:rsidR="00D168A3" w:rsidRDefault="00D168A3">
            <w:pPr>
              <w:rPr>
                <w:rFonts w:ascii="Calibri" w:eastAsia="Calibri" w:hAnsi="Calibri" w:cs="Calibri"/>
                <w:color w:val="000000"/>
              </w:rPr>
            </w:pPr>
          </w:p>
        </w:tc>
        <w:tc>
          <w:tcPr>
            <w:tcW w:w="1870" w:type="dxa"/>
            <w:shd w:val="clear" w:color="auto" w:fill="FFFF00"/>
          </w:tcPr>
          <w:p w14:paraId="0000004C" w14:textId="77777777" w:rsidR="00D168A3" w:rsidRDefault="00D168A3">
            <w:pPr>
              <w:rPr>
                <w:rFonts w:ascii="Calibri" w:eastAsia="Calibri" w:hAnsi="Calibri" w:cs="Calibri"/>
                <w:color w:val="000000"/>
              </w:rPr>
            </w:pPr>
          </w:p>
        </w:tc>
        <w:tc>
          <w:tcPr>
            <w:tcW w:w="1870" w:type="dxa"/>
            <w:shd w:val="clear" w:color="auto" w:fill="FFC000"/>
          </w:tcPr>
          <w:p w14:paraId="0000004D" w14:textId="77777777" w:rsidR="00D168A3" w:rsidRDefault="00D168A3">
            <w:pPr>
              <w:rPr>
                <w:rFonts w:ascii="Calibri" w:eastAsia="Calibri" w:hAnsi="Calibri" w:cs="Calibri"/>
                <w:color w:val="000000"/>
              </w:rPr>
            </w:pPr>
          </w:p>
        </w:tc>
      </w:tr>
      <w:tr w:rsidR="00D168A3" w14:paraId="643AEB89" w14:textId="77777777">
        <w:tc>
          <w:tcPr>
            <w:tcW w:w="1870" w:type="dxa"/>
          </w:tcPr>
          <w:p w14:paraId="0000004E" w14:textId="77777777" w:rsidR="00D168A3" w:rsidRDefault="007D57ED">
            <w:pPr>
              <w:rPr>
                <w:rFonts w:ascii="Calibri" w:eastAsia="Calibri" w:hAnsi="Calibri" w:cs="Calibri"/>
                <w:color w:val="000000"/>
              </w:rPr>
            </w:pPr>
            <w:r>
              <w:rPr>
                <w:rFonts w:ascii="Calibri" w:eastAsia="Calibri" w:hAnsi="Calibri" w:cs="Calibri"/>
                <w:color w:val="000000"/>
                <w:lang w:val="pt"/>
              </w:rPr>
              <w:t>3 Provável</w:t>
            </w:r>
          </w:p>
        </w:tc>
        <w:tc>
          <w:tcPr>
            <w:tcW w:w="1870" w:type="dxa"/>
            <w:shd w:val="clear" w:color="auto" w:fill="FFFF00"/>
          </w:tcPr>
          <w:p w14:paraId="0000004F" w14:textId="77777777" w:rsidR="00D168A3" w:rsidRDefault="00D168A3">
            <w:pPr>
              <w:rPr>
                <w:rFonts w:ascii="Calibri" w:eastAsia="Calibri" w:hAnsi="Calibri" w:cs="Calibri"/>
                <w:color w:val="000000"/>
              </w:rPr>
            </w:pPr>
          </w:p>
        </w:tc>
        <w:tc>
          <w:tcPr>
            <w:tcW w:w="1870" w:type="dxa"/>
            <w:shd w:val="clear" w:color="auto" w:fill="FFFF00"/>
          </w:tcPr>
          <w:p w14:paraId="00000050" w14:textId="77777777" w:rsidR="00D168A3" w:rsidRDefault="00D168A3">
            <w:pPr>
              <w:rPr>
                <w:rFonts w:ascii="Calibri" w:eastAsia="Calibri" w:hAnsi="Calibri" w:cs="Calibri"/>
                <w:color w:val="000000"/>
              </w:rPr>
            </w:pPr>
          </w:p>
        </w:tc>
        <w:tc>
          <w:tcPr>
            <w:tcW w:w="1870" w:type="dxa"/>
            <w:shd w:val="clear" w:color="auto" w:fill="FFC000"/>
          </w:tcPr>
          <w:p w14:paraId="00000051" w14:textId="77777777" w:rsidR="00D168A3" w:rsidRDefault="00D168A3">
            <w:pPr>
              <w:rPr>
                <w:rFonts w:ascii="Calibri" w:eastAsia="Calibri" w:hAnsi="Calibri" w:cs="Calibri"/>
                <w:color w:val="000000"/>
              </w:rPr>
            </w:pPr>
          </w:p>
        </w:tc>
        <w:tc>
          <w:tcPr>
            <w:tcW w:w="1870" w:type="dxa"/>
            <w:shd w:val="clear" w:color="auto" w:fill="FF0000"/>
          </w:tcPr>
          <w:p w14:paraId="00000052" w14:textId="77777777" w:rsidR="00D168A3" w:rsidRDefault="00D168A3">
            <w:pPr>
              <w:rPr>
                <w:rFonts w:ascii="Calibri" w:eastAsia="Calibri" w:hAnsi="Calibri" w:cs="Calibri"/>
                <w:color w:val="000000"/>
              </w:rPr>
            </w:pPr>
          </w:p>
        </w:tc>
      </w:tr>
      <w:tr w:rsidR="00D168A3" w14:paraId="436AD6B6" w14:textId="77777777">
        <w:tc>
          <w:tcPr>
            <w:tcW w:w="1870" w:type="dxa"/>
          </w:tcPr>
          <w:p w14:paraId="00000053" w14:textId="77777777" w:rsidR="00D168A3" w:rsidRDefault="007D57ED">
            <w:pPr>
              <w:rPr>
                <w:rFonts w:ascii="Calibri" w:eastAsia="Calibri" w:hAnsi="Calibri" w:cs="Calibri"/>
                <w:color w:val="000000"/>
              </w:rPr>
            </w:pPr>
            <w:r>
              <w:rPr>
                <w:rFonts w:ascii="Calibri" w:eastAsia="Calibri" w:hAnsi="Calibri" w:cs="Calibri"/>
                <w:color w:val="000000"/>
                <w:lang w:val="pt"/>
              </w:rPr>
              <w:t>4 Quase certo</w:t>
            </w:r>
          </w:p>
        </w:tc>
        <w:tc>
          <w:tcPr>
            <w:tcW w:w="1870" w:type="dxa"/>
            <w:shd w:val="clear" w:color="auto" w:fill="FFFF00"/>
          </w:tcPr>
          <w:p w14:paraId="00000054" w14:textId="77777777" w:rsidR="00D168A3" w:rsidRDefault="00D168A3">
            <w:pPr>
              <w:rPr>
                <w:rFonts w:ascii="Calibri" w:eastAsia="Calibri" w:hAnsi="Calibri" w:cs="Calibri"/>
                <w:color w:val="000000"/>
              </w:rPr>
            </w:pPr>
          </w:p>
        </w:tc>
        <w:tc>
          <w:tcPr>
            <w:tcW w:w="1870" w:type="dxa"/>
            <w:shd w:val="clear" w:color="auto" w:fill="FFC000"/>
          </w:tcPr>
          <w:p w14:paraId="00000055" w14:textId="77777777" w:rsidR="00D168A3" w:rsidRDefault="00D168A3">
            <w:pPr>
              <w:rPr>
                <w:rFonts w:ascii="Calibri" w:eastAsia="Calibri" w:hAnsi="Calibri" w:cs="Calibri"/>
                <w:color w:val="000000"/>
              </w:rPr>
            </w:pPr>
          </w:p>
        </w:tc>
        <w:tc>
          <w:tcPr>
            <w:tcW w:w="1870" w:type="dxa"/>
            <w:shd w:val="clear" w:color="auto" w:fill="FF0000"/>
          </w:tcPr>
          <w:p w14:paraId="00000056" w14:textId="77777777" w:rsidR="00D168A3" w:rsidRDefault="00D168A3">
            <w:pPr>
              <w:rPr>
                <w:rFonts w:ascii="Calibri" w:eastAsia="Calibri" w:hAnsi="Calibri" w:cs="Calibri"/>
                <w:color w:val="000000"/>
              </w:rPr>
            </w:pPr>
          </w:p>
        </w:tc>
        <w:tc>
          <w:tcPr>
            <w:tcW w:w="1870" w:type="dxa"/>
            <w:shd w:val="clear" w:color="auto" w:fill="FF0000"/>
          </w:tcPr>
          <w:p w14:paraId="00000057" w14:textId="77777777" w:rsidR="00D168A3" w:rsidRDefault="00D168A3">
            <w:pPr>
              <w:rPr>
                <w:rFonts w:ascii="Calibri" w:eastAsia="Calibri" w:hAnsi="Calibri" w:cs="Calibri"/>
                <w:color w:val="000000"/>
              </w:rPr>
            </w:pPr>
          </w:p>
        </w:tc>
      </w:tr>
    </w:tbl>
    <w:p w14:paraId="00000058" w14:textId="77777777" w:rsidR="00D168A3" w:rsidRDefault="00D168A3">
      <w:pPr>
        <w:pBdr>
          <w:top w:val="nil"/>
          <w:left w:val="nil"/>
          <w:bottom w:val="nil"/>
          <w:right w:val="nil"/>
          <w:between w:val="nil"/>
        </w:pBdr>
        <w:spacing w:after="0" w:line="240" w:lineRule="auto"/>
        <w:rPr>
          <w:rFonts w:ascii="Calibri" w:eastAsia="Calibri" w:hAnsi="Calibri" w:cs="Calibri"/>
          <w:color w:val="000000"/>
        </w:rPr>
      </w:pPr>
    </w:p>
    <w:p w14:paraId="00000059" w14:textId="77777777" w:rsidR="00D168A3" w:rsidRDefault="00D168A3">
      <w:pPr>
        <w:spacing w:after="0" w:line="240" w:lineRule="auto"/>
        <w:rPr>
          <w:rFonts w:ascii="Calibri" w:eastAsia="Calibri" w:hAnsi="Calibri" w:cs="Calibri"/>
        </w:rPr>
      </w:pPr>
    </w:p>
    <w:p w14:paraId="0000005A" w14:textId="00E51CEE"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 xml:space="preserve">Embora a identificação dos riscos e as respetivas medidas de mitigação devam ser desenvolvidas nas </w:t>
      </w:r>
      <w:r>
        <w:rPr>
          <w:rFonts w:ascii="Calibri" w:eastAsia="Calibri" w:hAnsi="Calibri" w:cs="Calibri"/>
          <w:lang w:val="pt"/>
        </w:rPr>
        <w:lastRenderedPageBreak/>
        <w:t>fases iniciais do processo de planeamento, é importante salientar que o plano resultante de riscos e mitigação é um documento dinâmico, devendo ser revisto e atualizado regularmente no período que antecede a distribuição em escolas. Numa fase inicial, pode não ser possível identificar e avaliar todos os riscos potenciais, pelo que os primeiros planos devem priorizar os riscos mais críticos. O Quadro 2 abaixo apresenta os riscos prioritários identificados em campanhas anteriores de distribuição em escolas, usando como exemplo a atividade de distribuição em escolas realizada na Zâmbia em 2021, implementada pelo Programa Nacional de Eliminação da Malária (NMEP, na sigla em inglês).</w:t>
      </w:r>
    </w:p>
    <w:p w14:paraId="0000005B" w14:textId="77777777" w:rsidR="00D168A3" w:rsidRPr="0023086B" w:rsidRDefault="00D168A3">
      <w:pPr>
        <w:widowControl w:val="0"/>
        <w:spacing w:after="0" w:line="240" w:lineRule="auto"/>
        <w:rPr>
          <w:rFonts w:ascii="Calibri" w:eastAsia="Calibri" w:hAnsi="Calibri" w:cs="Calibri"/>
          <w:i/>
          <w:sz w:val="18"/>
          <w:szCs w:val="18"/>
          <w:lang w:val="pt-BR"/>
        </w:rPr>
      </w:pPr>
    </w:p>
    <w:p w14:paraId="0000005C" w14:textId="77777777" w:rsidR="00D168A3" w:rsidRDefault="007D57ED">
      <w:pPr>
        <w:widowControl w:val="0"/>
        <w:spacing w:after="0" w:line="240" w:lineRule="auto"/>
        <w:rPr>
          <w:rFonts w:ascii="Calibri" w:eastAsia="Calibri" w:hAnsi="Calibri" w:cs="Calibri"/>
          <w:i/>
          <w:sz w:val="18"/>
          <w:szCs w:val="18"/>
        </w:rPr>
      </w:pPr>
      <w:r>
        <w:rPr>
          <w:rFonts w:ascii="Calibri" w:eastAsia="Calibri" w:hAnsi="Calibri" w:cs="Calibri"/>
          <w:i/>
          <w:iCs/>
          <w:sz w:val="18"/>
          <w:szCs w:val="18"/>
          <w:lang w:val="pt"/>
        </w:rPr>
        <w:t>Quadro 2: Riscos prioritários</w:t>
      </w:r>
    </w:p>
    <w:tbl>
      <w:tblPr>
        <w:tblStyle w:val="a6"/>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9"/>
        <w:gridCol w:w="3184"/>
        <w:gridCol w:w="1560"/>
        <w:gridCol w:w="2276"/>
      </w:tblGrid>
      <w:tr w:rsidR="00D168A3" w:rsidRPr="00DF4E36" w14:paraId="6160373D" w14:textId="77777777" w:rsidTr="007373F6">
        <w:tc>
          <w:tcPr>
            <w:tcW w:w="2339" w:type="dxa"/>
            <w:shd w:val="clear" w:color="auto" w:fill="auto"/>
          </w:tcPr>
          <w:p w14:paraId="0000005D"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pt"/>
              </w:rPr>
              <w:t>Área estratégica da SBD</w:t>
            </w:r>
          </w:p>
        </w:tc>
        <w:tc>
          <w:tcPr>
            <w:tcW w:w="3184" w:type="dxa"/>
            <w:shd w:val="clear" w:color="auto" w:fill="auto"/>
          </w:tcPr>
          <w:p w14:paraId="0000005E"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pt"/>
              </w:rPr>
              <w:t>Risco</w:t>
            </w:r>
          </w:p>
        </w:tc>
        <w:tc>
          <w:tcPr>
            <w:tcW w:w="1560" w:type="dxa"/>
            <w:shd w:val="clear" w:color="auto" w:fill="auto"/>
          </w:tcPr>
          <w:p w14:paraId="0000005F"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pt"/>
              </w:rPr>
              <w:t>Categoria de risco</w:t>
            </w:r>
          </w:p>
        </w:tc>
        <w:tc>
          <w:tcPr>
            <w:tcW w:w="2276" w:type="dxa"/>
            <w:shd w:val="clear" w:color="auto" w:fill="auto"/>
          </w:tcPr>
          <w:p w14:paraId="00000060"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b/>
                <w:bCs/>
                <w:lang w:val="pt"/>
              </w:rPr>
              <w:t>Risco para quem</w:t>
            </w:r>
          </w:p>
        </w:tc>
      </w:tr>
      <w:tr w:rsidR="00D168A3" w:rsidRPr="00007A48" w14:paraId="433400A4" w14:textId="77777777" w:rsidTr="007373F6">
        <w:tc>
          <w:tcPr>
            <w:tcW w:w="2339" w:type="dxa"/>
            <w:shd w:val="clear" w:color="auto" w:fill="auto"/>
          </w:tcPr>
          <w:p w14:paraId="00000061"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lang w:val="pt"/>
              </w:rPr>
              <w:t>Quantificação de MTI</w:t>
            </w:r>
          </w:p>
        </w:tc>
        <w:tc>
          <w:tcPr>
            <w:tcW w:w="3184" w:type="dxa"/>
            <w:shd w:val="clear" w:color="auto" w:fill="auto"/>
          </w:tcPr>
          <w:p w14:paraId="00000062" w14:textId="77777777" w:rsidR="00D168A3" w:rsidRPr="0023086B" w:rsidRDefault="007D57ED">
            <w:pPr>
              <w:widowControl w:val="0"/>
              <w:spacing w:after="0" w:line="240" w:lineRule="auto"/>
              <w:rPr>
                <w:rFonts w:ascii="Calibri" w:eastAsia="Calibri" w:hAnsi="Calibri" w:cs="Calibri"/>
                <w:b/>
                <w:lang w:val="pt-BR"/>
              </w:rPr>
            </w:pPr>
            <w:r>
              <w:rPr>
                <w:rFonts w:ascii="Calibri" w:eastAsia="Calibri" w:hAnsi="Calibri" w:cs="Calibri"/>
                <w:lang w:val="pt"/>
              </w:rPr>
              <w:t>Escassez de fornecimento de MTI resultante de imprecisões nos dados de matrículas utilizados para a quantificação, levando a uma discrepância entre o número de mosquiteiros necessários e o número de mosquiteiros recebidos.</w:t>
            </w:r>
          </w:p>
        </w:tc>
        <w:tc>
          <w:tcPr>
            <w:tcW w:w="1560" w:type="dxa"/>
            <w:shd w:val="clear" w:color="auto" w:fill="auto"/>
          </w:tcPr>
          <w:p w14:paraId="00000063" w14:textId="77777777" w:rsidR="00D168A3" w:rsidRPr="00DF4E36" w:rsidRDefault="007D57ED">
            <w:pPr>
              <w:widowControl w:val="0"/>
              <w:spacing w:after="0" w:line="240" w:lineRule="auto"/>
              <w:rPr>
                <w:rFonts w:ascii="Calibri" w:eastAsia="Calibri" w:hAnsi="Calibri" w:cs="Calibri"/>
                <w:b/>
              </w:rPr>
            </w:pPr>
            <w:r>
              <w:rPr>
                <w:rFonts w:ascii="Calibri" w:eastAsia="Calibri" w:hAnsi="Calibri" w:cs="Calibri"/>
                <w:lang w:val="pt"/>
              </w:rPr>
              <w:t>Operacional</w:t>
            </w:r>
          </w:p>
        </w:tc>
        <w:tc>
          <w:tcPr>
            <w:tcW w:w="2276" w:type="dxa"/>
            <w:shd w:val="clear" w:color="auto" w:fill="auto"/>
          </w:tcPr>
          <w:p w14:paraId="00000064" w14:textId="5D3998C4" w:rsidR="00D168A3" w:rsidRPr="0023086B" w:rsidRDefault="007D57ED">
            <w:pPr>
              <w:widowControl w:val="0"/>
              <w:spacing w:after="0" w:line="240" w:lineRule="auto"/>
              <w:rPr>
                <w:rFonts w:ascii="Calibri" w:eastAsia="Calibri" w:hAnsi="Calibri" w:cs="Calibri"/>
                <w:b/>
                <w:lang w:val="pt-BR"/>
              </w:rPr>
            </w:pPr>
            <w:r>
              <w:rPr>
                <w:rFonts w:ascii="Calibri" w:eastAsia="Calibri" w:hAnsi="Calibri" w:cs="Calibri"/>
                <w:lang w:val="pt"/>
              </w:rPr>
              <w:t>NMEP/Ministério da Educação (MdE)</w:t>
            </w:r>
          </w:p>
        </w:tc>
      </w:tr>
      <w:tr w:rsidR="00D168A3" w:rsidRPr="00DF4E36" w14:paraId="3D09797B" w14:textId="77777777" w:rsidTr="007373F6">
        <w:trPr>
          <w:trHeight w:val="850"/>
        </w:trPr>
        <w:tc>
          <w:tcPr>
            <w:tcW w:w="2339" w:type="dxa"/>
            <w:shd w:val="clear" w:color="auto" w:fill="auto"/>
          </w:tcPr>
          <w:p w14:paraId="00000065"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Cadeia de abastecimento</w:t>
            </w:r>
          </w:p>
        </w:tc>
        <w:tc>
          <w:tcPr>
            <w:tcW w:w="3184" w:type="dxa"/>
            <w:shd w:val="clear" w:color="auto" w:fill="auto"/>
          </w:tcPr>
          <w:p w14:paraId="00000066"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Disponibilidade limitada de bens, que restringe os distritos, escolas e anos de escolaridade participantes.</w:t>
            </w:r>
          </w:p>
        </w:tc>
        <w:tc>
          <w:tcPr>
            <w:tcW w:w="1560" w:type="dxa"/>
            <w:shd w:val="clear" w:color="auto" w:fill="auto"/>
          </w:tcPr>
          <w:p w14:paraId="00000067"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Operacional</w:t>
            </w:r>
          </w:p>
        </w:tc>
        <w:tc>
          <w:tcPr>
            <w:tcW w:w="2276" w:type="dxa"/>
            <w:shd w:val="clear" w:color="auto" w:fill="auto"/>
          </w:tcPr>
          <w:p w14:paraId="00000068"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NMEP/Parceiros de implementação</w:t>
            </w:r>
          </w:p>
        </w:tc>
      </w:tr>
      <w:tr w:rsidR="00D168A3" w:rsidRPr="00DF4E36" w14:paraId="2F863EB9" w14:textId="77777777" w:rsidTr="007373F6">
        <w:tc>
          <w:tcPr>
            <w:tcW w:w="2339" w:type="dxa"/>
            <w:shd w:val="clear" w:color="auto" w:fill="auto"/>
          </w:tcPr>
          <w:p w14:paraId="00000069"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Monitorização e avaliação</w:t>
            </w:r>
          </w:p>
        </w:tc>
        <w:tc>
          <w:tcPr>
            <w:tcW w:w="3184" w:type="dxa"/>
            <w:shd w:val="clear" w:color="auto" w:fill="auto"/>
          </w:tcPr>
          <w:p w14:paraId="0000006A"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Falta de clareza quanto às responsabilidades de gestão de dados entre o Ministério da Saúde (MdS) e o MdE.</w:t>
            </w:r>
          </w:p>
        </w:tc>
        <w:tc>
          <w:tcPr>
            <w:tcW w:w="1560" w:type="dxa"/>
            <w:shd w:val="clear" w:color="auto" w:fill="auto"/>
          </w:tcPr>
          <w:p w14:paraId="0000006B"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Operacional</w:t>
            </w:r>
          </w:p>
        </w:tc>
        <w:tc>
          <w:tcPr>
            <w:tcW w:w="2276" w:type="dxa"/>
            <w:shd w:val="clear" w:color="auto" w:fill="auto"/>
          </w:tcPr>
          <w:p w14:paraId="0000006C"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NMEP/MdE</w:t>
            </w:r>
          </w:p>
        </w:tc>
      </w:tr>
      <w:tr w:rsidR="00D168A3" w:rsidRPr="00DF4E36" w14:paraId="4C210D48" w14:textId="77777777" w:rsidTr="007373F6">
        <w:tc>
          <w:tcPr>
            <w:tcW w:w="2339" w:type="dxa"/>
            <w:shd w:val="clear" w:color="auto" w:fill="auto"/>
          </w:tcPr>
          <w:p w14:paraId="0000006D"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Mudança social e comportamental (MSC)</w:t>
            </w:r>
          </w:p>
        </w:tc>
        <w:tc>
          <w:tcPr>
            <w:tcW w:w="3184" w:type="dxa"/>
            <w:shd w:val="clear" w:color="auto" w:fill="auto"/>
          </w:tcPr>
          <w:p w14:paraId="0000006E" w14:textId="77777777" w:rsidR="00D168A3" w:rsidRPr="0023086B" w:rsidRDefault="007D57ED">
            <w:pPr>
              <w:widowControl w:val="0"/>
              <w:spacing w:after="0" w:line="240" w:lineRule="auto"/>
              <w:rPr>
                <w:rFonts w:ascii="Calibri" w:eastAsia="Calibri" w:hAnsi="Calibri" w:cs="Calibri"/>
                <w:lang w:val="pt-BR"/>
              </w:rPr>
            </w:pPr>
            <w:r>
              <w:rPr>
                <w:rFonts w:ascii="Calibri" w:eastAsia="Calibri" w:hAnsi="Calibri" w:cs="Calibri"/>
                <w:lang w:val="pt"/>
              </w:rPr>
              <w:t xml:space="preserve">Financiamento limitado para MSC no âmbito da distribuição em escolas, levando à falta de envolvimento com partes interessadas fundamentais. </w:t>
            </w:r>
          </w:p>
        </w:tc>
        <w:tc>
          <w:tcPr>
            <w:tcW w:w="1560" w:type="dxa"/>
            <w:shd w:val="clear" w:color="auto" w:fill="auto"/>
          </w:tcPr>
          <w:p w14:paraId="0000006F"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 xml:space="preserve">Financeiro </w:t>
            </w:r>
          </w:p>
        </w:tc>
        <w:tc>
          <w:tcPr>
            <w:tcW w:w="2276" w:type="dxa"/>
            <w:shd w:val="clear" w:color="auto" w:fill="auto"/>
          </w:tcPr>
          <w:p w14:paraId="00000070" w14:textId="77777777" w:rsidR="00D168A3" w:rsidRPr="00DF4E36" w:rsidRDefault="007D57ED">
            <w:pPr>
              <w:widowControl w:val="0"/>
              <w:spacing w:after="0" w:line="240" w:lineRule="auto"/>
              <w:rPr>
                <w:rFonts w:ascii="Calibri" w:eastAsia="Calibri" w:hAnsi="Calibri" w:cs="Calibri"/>
              </w:rPr>
            </w:pPr>
            <w:r>
              <w:rPr>
                <w:rFonts w:ascii="Calibri" w:eastAsia="Calibri" w:hAnsi="Calibri" w:cs="Calibri"/>
                <w:lang w:val="pt"/>
              </w:rPr>
              <w:t>NMEP/MdE</w:t>
            </w:r>
          </w:p>
        </w:tc>
      </w:tr>
    </w:tbl>
    <w:p w14:paraId="00000071" w14:textId="77777777" w:rsidR="00D168A3" w:rsidRDefault="00D168A3">
      <w:pPr>
        <w:widowControl w:val="0"/>
        <w:spacing w:after="0" w:line="240" w:lineRule="auto"/>
        <w:rPr>
          <w:rFonts w:ascii="Calibri" w:eastAsia="Calibri" w:hAnsi="Calibri" w:cs="Calibri"/>
        </w:rPr>
      </w:pPr>
    </w:p>
    <w:p w14:paraId="00000072" w14:textId="77777777" w:rsidR="00D168A3" w:rsidRPr="0023086B" w:rsidRDefault="007D57ED">
      <w:pPr>
        <w:widowControl w:val="0"/>
        <w:spacing w:after="0" w:line="240" w:lineRule="auto"/>
        <w:rPr>
          <w:rFonts w:ascii="Calibri" w:eastAsia="Calibri" w:hAnsi="Calibri" w:cs="Calibri"/>
          <w:b/>
          <w:sz w:val="24"/>
          <w:szCs w:val="24"/>
          <w:lang w:val="pt-BR"/>
        </w:rPr>
      </w:pPr>
      <w:r>
        <w:rPr>
          <w:rFonts w:ascii="Calibri" w:eastAsia="Calibri" w:hAnsi="Calibri" w:cs="Calibri"/>
          <w:b/>
          <w:bCs/>
          <w:sz w:val="24"/>
          <w:szCs w:val="24"/>
          <w:lang w:val="pt"/>
        </w:rPr>
        <w:t>2.</w:t>
      </w:r>
      <w:r>
        <w:rPr>
          <w:rFonts w:ascii="Calibri" w:eastAsia="Calibri" w:hAnsi="Calibri" w:cs="Calibri"/>
          <w:b/>
          <w:bCs/>
          <w:sz w:val="24"/>
          <w:szCs w:val="24"/>
          <w:lang w:val="pt"/>
        </w:rPr>
        <w:tab/>
        <w:t>Planeamento de mitigação de riscos da distribuição em escolas</w:t>
      </w:r>
    </w:p>
    <w:p w14:paraId="00000073" w14:textId="5A226710" w:rsidR="00D168A3" w:rsidRPr="0023086B" w:rsidRDefault="007D57ED">
      <w:pPr>
        <w:widowControl w:val="0"/>
        <w:spacing w:after="0" w:line="240" w:lineRule="auto"/>
        <w:rPr>
          <w:rFonts w:ascii="Calibri" w:eastAsia="Calibri" w:hAnsi="Calibri" w:cs="Calibri"/>
          <w:lang w:val="pt-BR"/>
        </w:rPr>
      </w:pPr>
      <w:r>
        <w:rPr>
          <w:rFonts w:ascii="Calibri" w:hAnsi="Calibri"/>
          <w:lang w:val="pt"/>
        </w:rPr>
        <w:t>Um plano robusto de mitigação de riscos garante que os riscos identificados sejam monitorizados e abordados ao longo de todo o período de distribuição em escolas. O grupo de trabalho da distribuição em escolas (ou equivalente) deve acompanhar ativamente os riscos e atualizar as ações de mitigação no principal plano de ação (</w:t>
      </w:r>
      <w:hyperlink r:id="rId10" w:history="1">
        <w:r w:rsidRPr="00007A48">
          <w:rPr>
            <w:rStyle w:val="Hyperlink"/>
            <w:rFonts w:ascii="Calibri" w:hAnsi="Calibri"/>
            <w:lang w:val="pt"/>
          </w:rPr>
          <w:t>PdA</w:t>
        </w:r>
      </w:hyperlink>
      <w:r>
        <w:rPr>
          <w:rFonts w:ascii="Calibri" w:hAnsi="Calibri"/>
          <w:lang w:val="pt"/>
        </w:rPr>
        <w:t xml:space="preserve">) da distribuição em escolas. Idealmente, um dos membros do grupo de trabalho da distribuição em escolas deve ser designado como responsável pelo plano de avaliação e mitigação de riscos, de forma a garantir a responsabilização. A identificação de riscos deve considerar tanto os riscos amplos e </w:t>
      </w:r>
      <w:r w:rsidR="00D1014E" w:rsidRPr="00D1014E">
        <w:rPr>
          <w:rFonts w:ascii="Calibri" w:hAnsi="Calibri"/>
          <w:lang w:val="pt"/>
        </w:rPr>
        <w:t>sistêmico</w:t>
      </w:r>
      <w:r>
        <w:rPr>
          <w:rFonts w:ascii="Calibri" w:hAnsi="Calibri"/>
          <w:lang w:val="pt"/>
        </w:rPr>
        <w:t xml:space="preserve"> como os riscos específicos a nível subnacional, escolar e comunitário. Os responsáveis pelos riscos devem desenvolver estratégias de mitigação adaptadas para abordar cada risco identificado, garantindo uma implementação oportuna e eficaz.</w:t>
      </w:r>
    </w:p>
    <w:p w14:paraId="00000074" w14:textId="77777777" w:rsidR="00D168A3" w:rsidRPr="0023086B" w:rsidRDefault="00D168A3">
      <w:pPr>
        <w:widowControl w:val="0"/>
        <w:spacing w:after="0" w:line="240" w:lineRule="auto"/>
        <w:rPr>
          <w:rFonts w:ascii="Calibri" w:eastAsia="Calibri" w:hAnsi="Calibri" w:cs="Calibri"/>
          <w:lang w:val="pt-BR"/>
        </w:rPr>
      </w:pPr>
    </w:p>
    <w:p w14:paraId="00000077" w14:textId="77777777" w:rsidR="00D168A3" w:rsidRPr="0023086B" w:rsidRDefault="007D57ED">
      <w:pPr>
        <w:widowControl w:val="0"/>
        <w:pBdr>
          <w:top w:val="single" w:sz="4" w:space="1" w:color="000000"/>
          <w:left w:val="single" w:sz="4" w:space="4" w:color="000000"/>
          <w:bottom w:val="single" w:sz="4" w:space="1" w:color="000000"/>
          <w:right w:val="single" w:sz="4" w:space="4" w:color="000000"/>
        </w:pBdr>
        <w:spacing w:after="0" w:line="240" w:lineRule="auto"/>
        <w:rPr>
          <w:rFonts w:ascii="Calibri" w:eastAsia="Calibri" w:hAnsi="Calibri" w:cs="Calibri"/>
          <w:b/>
          <w:lang w:val="pt-BR"/>
        </w:rPr>
      </w:pPr>
      <w:r>
        <w:rPr>
          <w:rFonts w:ascii="Calibri" w:eastAsia="Calibri" w:hAnsi="Calibri" w:cs="Calibri"/>
          <w:b/>
          <w:bCs/>
          <w:lang w:val="pt"/>
        </w:rPr>
        <w:t>O plano de avaliação e mitigação de riscos é um componente fundamental do PdA da distribuição em escolas e deve ser continuamente atualizado.</w:t>
      </w:r>
    </w:p>
    <w:p w14:paraId="731D832E" w14:textId="77777777" w:rsidR="009A16DF" w:rsidRPr="0023086B" w:rsidRDefault="009A16DF">
      <w:pPr>
        <w:widowControl w:val="0"/>
        <w:spacing w:after="0" w:line="240" w:lineRule="auto"/>
        <w:rPr>
          <w:lang w:val="pt-BR"/>
        </w:rPr>
      </w:pPr>
    </w:p>
    <w:p w14:paraId="00000079" w14:textId="7B0CF1DE" w:rsidR="00D168A3" w:rsidRPr="0023086B" w:rsidRDefault="007D57ED">
      <w:pPr>
        <w:widowControl w:val="0"/>
        <w:spacing w:after="0" w:line="240" w:lineRule="auto"/>
        <w:rPr>
          <w:rFonts w:ascii="Calibri" w:eastAsia="Calibri" w:hAnsi="Calibri" w:cs="Calibri"/>
          <w:lang w:val="pt-BR"/>
        </w:rPr>
      </w:pPr>
      <w:r>
        <w:rPr>
          <w:rFonts w:ascii="Calibri" w:hAnsi="Calibri"/>
          <w:lang w:val="pt"/>
        </w:rPr>
        <w:t xml:space="preserve">Está disponível, juntamente com este documento de orientação, uma </w:t>
      </w:r>
      <w:hyperlink r:id="rId11" w:history="1">
        <w:r w:rsidRPr="00007A48">
          <w:rPr>
            <w:rStyle w:val="Hyperlink"/>
            <w:rFonts w:ascii="Calibri" w:hAnsi="Calibri"/>
            <w:lang w:val="pt"/>
          </w:rPr>
          <w:t>ferramenta adaptável</w:t>
        </w:r>
      </w:hyperlink>
      <w:r>
        <w:rPr>
          <w:rFonts w:ascii="Calibri" w:hAnsi="Calibri"/>
          <w:lang w:val="pt"/>
        </w:rPr>
        <w:t xml:space="preserve"> (Excel) para </w:t>
      </w:r>
      <w:r>
        <w:rPr>
          <w:rFonts w:ascii="Calibri" w:hAnsi="Calibri"/>
          <w:lang w:val="pt"/>
        </w:rPr>
        <w:lastRenderedPageBreak/>
        <w:t>o plano de avaliação e mitigação de riscos. O plano inclui riscos comuns com base nas experiências de implementação da distribuição em escolas noutros países, mas deve ser revisto e adaptado ao contexto e à situação específica de cada país.</w:t>
      </w:r>
    </w:p>
    <w:p w14:paraId="0000007A" w14:textId="77777777" w:rsidR="00D168A3" w:rsidRPr="0023086B" w:rsidRDefault="00D168A3">
      <w:pPr>
        <w:widowControl w:val="0"/>
        <w:spacing w:after="0" w:line="240" w:lineRule="auto"/>
        <w:rPr>
          <w:rFonts w:ascii="Calibri" w:eastAsia="Calibri" w:hAnsi="Calibri" w:cs="Calibri"/>
          <w:b/>
          <w:lang w:val="pt-BR"/>
        </w:rPr>
      </w:pPr>
    </w:p>
    <w:p w14:paraId="0000007B" w14:textId="77777777" w:rsidR="00D168A3" w:rsidRPr="0023086B" w:rsidRDefault="007D57ED">
      <w:pPr>
        <w:widowControl w:val="0"/>
        <w:spacing w:after="0" w:line="240" w:lineRule="auto"/>
        <w:rPr>
          <w:rFonts w:ascii="Calibri" w:eastAsia="Calibri" w:hAnsi="Calibri" w:cs="Calibri"/>
          <w:b/>
          <w:lang w:val="pt-BR"/>
        </w:rPr>
      </w:pPr>
      <w:r>
        <w:rPr>
          <w:rFonts w:ascii="Calibri" w:eastAsia="Calibri" w:hAnsi="Calibri" w:cs="Calibri"/>
          <w:b/>
          <w:bCs/>
          <w:lang w:val="pt"/>
        </w:rPr>
        <w:t>Boas práticas de gestão de riscos na distribuição em escolas</w:t>
      </w:r>
    </w:p>
    <w:p w14:paraId="0000007C" w14:textId="6BC3DB97" w:rsidR="00D168A3" w:rsidRPr="0023086B"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pt-BR"/>
        </w:rPr>
      </w:pPr>
      <w:r>
        <w:rPr>
          <w:rFonts w:ascii="Calibri" w:eastAsia="Calibri" w:hAnsi="Calibri" w:cs="Calibri"/>
          <w:color w:val="000000"/>
          <w:lang w:val="pt"/>
        </w:rPr>
        <w:t>Envolver as partes interessadas: consultar pessoal do MdE, autoridades educativas subnacionais, diretores de escolas, líderes comunitários e outras partes relevantes para identificar riscos potenciais e desenvolver estratégias de mitigação adequadas.</w:t>
      </w:r>
    </w:p>
    <w:p w14:paraId="0000007D" w14:textId="77777777" w:rsidR="00D168A3" w:rsidRPr="0023086B"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pt-BR"/>
        </w:rPr>
      </w:pPr>
      <w:r>
        <w:rPr>
          <w:rFonts w:ascii="Calibri" w:eastAsia="Calibri" w:hAnsi="Calibri" w:cs="Calibri"/>
          <w:color w:val="000000"/>
          <w:lang w:val="pt"/>
        </w:rPr>
        <w:t>Aprender com experiências anteriores: rever distribuições anteriores de MTI em escolas para identificar lições aprendidas e possíveis dificuldades.</w:t>
      </w:r>
    </w:p>
    <w:p w14:paraId="0000007E" w14:textId="77777777" w:rsidR="00D168A3" w:rsidRPr="0023086B"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pt-BR"/>
        </w:rPr>
      </w:pPr>
      <w:r>
        <w:rPr>
          <w:rFonts w:ascii="Calibri" w:eastAsia="Calibri" w:hAnsi="Calibri" w:cs="Calibri"/>
          <w:color w:val="000000"/>
          <w:lang w:val="pt"/>
        </w:rPr>
        <w:t>Ser flexível e adaptável: estar preparado para ajustar os planos à medida que as circunstâncias mudem.</w:t>
      </w:r>
    </w:p>
    <w:p w14:paraId="0000007F" w14:textId="77777777" w:rsidR="00D168A3" w:rsidRPr="0023086B"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pt-BR"/>
        </w:rPr>
      </w:pPr>
      <w:r>
        <w:rPr>
          <w:rFonts w:ascii="Calibri" w:eastAsia="Calibri" w:hAnsi="Calibri" w:cs="Calibri"/>
          <w:color w:val="000000"/>
          <w:lang w:val="pt"/>
        </w:rPr>
        <w:t>Registar tudo: manter registos detalhados de todas as atividades, incluindo avaliações de risco, estratégias de mitigação e dados de monitorização.</w:t>
      </w:r>
    </w:p>
    <w:p w14:paraId="00000080" w14:textId="77777777" w:rsidR="00D168A3" w:rsidRPr="0023086B" w:rsidRDefault="00D168A3">
      <w:pPr>
        <w:widowControl w:val="0"/>
        <w:spacing w:after="0" w:line="240" w:lineRule="auto"/>
        <w:rPr>
          <w:rFonts w:ascii="Calibri" w:eastAsia="Calibri" w:hAnsi="Calibri" w:cs="Calibri"/>
          <w:b/>
          <w:lang w:val="pt-BR"/>
        </w:rPr>
      </w:pPr>
    </w:p>
    <w:p w14:paraId="00000081" w14:textId="77777777" w:rsidR="00D168A3" w:rsidRDefault="007D57ED">
      <w:pPr>
        <w:widowControl w:val="0"/>
        <w:spacing w:after="0" w:line="240" w:lineRule="auto"/>
        <w:rPr>
          <w:rFonts w:ascii="Calibri" w:eastAsia="Calibri" w:hAnsi="Calibri" w:cs="Calibri"/>
          <w:b/>
        </w:rPr>
      </w:pPr>
      <w:r>
        <w:rPr>
          <w:rFonts w:ascii="Calibri" w:eastAsia="Calibri" w:hAnsi="Calibri" w:cs="Calibri"/>
          <w:b/>
          <w:bCs/>
          <w:lang w:val="pt"/>
        </w:rPr>
        <w:t>Recursos nacionais</w:t>
      </w:r>
    </w:p>
    <w:p w14:paraId="00000082" w14:textId="19EAB170" w:rsidR="00D168A3" w:rsidRPr="0023086B"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lang w:val="pt-BR"/>
        </w:rPr>
      </w:pPr>
      <w:r>
        <w:rPr>
          <w:rFonts w:ascii="Calibri" w:hAnsi="Calibri"/>
          <w:color w:val="000000"/>
          <w:lang w:val="pt"/>
        </w:rPr>
        <w:t>Exemplo de planos de avaliação e mitigação de riscos do Gana, Zâmbia e Tanzânia</w:t>
      </w:r>
      <w:r w:rsidR="00D1014E">
        <w:rPr>
          <w:rFonts w:ascii="Calibri" w:hAnsi="Calibri"/>
          <w:color w:val="000000"/>
          <w:lang w:val="pt"/>
        </w:rPr>
        <w:t>.</w:t>
      </w:r>
    </w:p>
    <w:sectPr w:rsidR="00D168A3" w:rsidRPr="0023086B">
      <w:footerReference w:type="even" r:id="rId12"/>
      <w:footerReference w:type="default" r:id="rId13"/>
      <w:headerReference w:type="first" r:id="rId14"/>
      <w:footerReference w:type="first" r:id="rId15"/>
      <w:pgSz w:w="12240" w:h="15840"/>
      <w:pgMar w:top="1440"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94450" w14:textId="77777777" w:rsidR="00416F20" w:rsidRDefault="00416F20">
      <w:pPr>
        <w:spacing w:after="0" w:line="240" w:lineRule="auto"/>
      </w:pPr>
      <w:r>
        <w:separator/>
      </w:r>
    </w:p>
  </w:endnote>
  <w:endnote w:type="continuationSeparator" w:id="0">
    <w:p w14:paraId="0A6F61F2" w14:textId="77777777" w:rsidR="00416F20" w:rsidRDefault="00416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DE1D728-E928-452C-BC96-AA954BE85818}"/>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B38A1700-472F-4A7D-B143-FB263A2F55E9}"/>
    <w:embedBold r:id="rId3" w:fontKey="{122859A4-551C-47C1-A270-B0FA85461A3C}"/>
    <w:embedItalic r:id="rId4" w:fontKey="{8917250C-0BB1-4D7B-A6F1-AB72711BA5B8}"/>
  </w:font>
  <w:font w:name="Aptos Display">
    <w:charset w:val="00"/>
    <w:family w:val="swiss"/>
    <w:pitch w:val="variable"/>
    <w:sig w:usb0="20000287" w:usb1="00000003" w:usb2="00000000" w:usb3="00000000" w:csb0="0000019F" w:csb1="00000000"/>
    <w:embedRegular r:id="rId5" w:fontKey="{51BB25DE-79AD-4CB2-ADA1-71EA72AEECD1}"/>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0D9C6B44-9B9B-460A-BD46-786E4120AA79}"/>
  </w:font>
  <w:font w:name="Calibri">
    <w:panose1 w:val="020F0502020204030204"/>
    <w:charset w:val="00"/>
    <w:family w:val="swiss"/>
    <w:pitch w:val="variable"/>
    <w:sig w:usb0="E4002EFF" w:usb1="C000247B" w:usb2="00000009" w:usb3="00000000" w:csb0="000001FF" w:csb1="00000000"/>
    <w:embedRegular r:id="rId7" w:fontKey="{116162FF-A77F-4476-BF97-3648404BF282}"/>
    <w:embedBold r:id="rId8" w:fontKey="{1D83AD3A-E566-4E3A-9C20-7E76B48209AE}"/>
    <w:embedItalic r:id="rId9" w:fontKey="{C1624345-A5FB-4480-8C97-C8B7174ACF7E}"/>
    <w:embedBoldItalic r:id="rId10" w:fontKey="{A028A757-6CB2-4118-9027-655BD5BABE8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noProof/>
        <w:lang w:val="pt"/>
      </w:rPr>
      <mc:AlternateContent>
        <mc:Choice Requires="wps">
          <w:drawing>
            <wp:anchor distT="0" distB="0" distL="0" distR="0" simplePos="0" relativeHeight="251660288" behindDoc="0" locked="0" layoutInCell="1" hidden="0" allowOverlap="1" wp14:anchorId="61800EBE" wp14:editId="08C26FAF">
              <wp:simplePos x="0" y="0"/>
              <wp:positionH relativeFrom="column">
                <wp:posOffset>-914399</wp:posOffset>
              </wp:positionH>
              <wp:positionV relativeFrom="paragraph">
                <wp:posOffset>0</wp:posOffset>
              </wp:positionV>
              <wp:extent cx="676275" cy="376555"/>
              <wp:effectExtent l="0" t="0" r="0" b="0"/>
              <wp:wrapNone/>
              <wp:docPr id="1767178834" name="Rectangle 1767178834" descr="Interno"/>
              <wp:cNvGraphicFramePr/>
              <a:graphic xmlns:a="http://schemas.openxmlformats.org/drawingml/2006/main">
                <a:graphicData uri="http://schemas.microsoft.com/office/word/2010/wordprocessingShape">
                  <wps:wsp>
                    <wps:cNvSpPr/>
                    <wps:spPr>
                      <a:xfrm>
                        <a:off x="5017388" y="3601248"/>
                        <a:ext cx="657225" cy="357505"/>
                      </a:xfrm>
                      <a:prstGeom prst="rect">
                        <a:avLst/>
                      </a:prstGeom>
                      <a:noFill/>
                      <a:ln>
                        <a:noFill/>
                      </a:ln>
                    </wps:spPr>
                    <wps:txbx>
                      <w:txbxContent>
                        <w:p w14:paraId="7BDC9229" w14:textId="77777777" w:rsidR="00D168A3" w:rsidRDefault="007D57ED">
                          <w:pPr>
                            <w:spacing w:after="0" w:line="258" w:lineRule="auto"/>
                            <w:textDirection w:val="btLr"/>
                          </w:pPr>
                          <w:r>
                            <w:rPr>
                              <w:rFonts w:ascii="Calibri" w:eastAsia="Calibri" w:hAnsi="Calibri" w:cs="Calibri"/>
                              <w:color w:val="000000"/>
                              <w:sz w:val="20"/>
                              <w:lang w:val="pt"/>
                            </w:rPr>
                            <w:t>Interno</w:t>
                          </w:r>
                        </w:p>
                      </w:txbxContent>
                    </wps:txbx>
                    <wps:bodyPr spcFirstLastPara="1" wrap="square" lIns="254000" tIns="0" rIns="0" bIns="190500" anchor="b" anchorCtr="0">
                      <a:noAutofit/>
                    </wps:bodyPr>
                  </wps:wsp>
                </a:graphicData>
              </a:graphic>
            </wp:anchor>
          </w:drawing>
        </mc:Choice>
        <mc:Fallback>
          <w:pict>
            <v:rect w14:anchorId="61800EBE" id="Rectangle 1767178834" o:spid="_x0000_s1026" alt="Interno" style="position:absolute;margin-left:-1in;margin-top:0;width:53.25pt;height:29.6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" filled="f" stroked="f">
              <v:textbox inset="20pt,0,0,15pt">
                <w:txbxContent>
                  <w:p w14:paraId="7BDC9229" w14:textId="77777777" w:rsidR="00D168A3" w:rsidRDefault="007D57ED">
                    <w:pPr>
                      <w:spacing w:after="0" w:line="258" w:lineRule="auto"/>
                      <w:textDirection w:val="btLr"/>
                    </w:pPr>
                    <w:r>
                      <w:rPr>
                        <w:rFonts w:ascii="Calibri" w:eastAsia="Calibri" w:hAnsi="Calibri" w:cs="Calibri"/>
                        <w:color w:val="000000"/>
                        <w:sz w:val="20"/>
                        <w:lang w:val="pt"/>
                      </w:rPr>
                      <w:t>Interno</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5" w14:textId="21AEEF00" w:rsidR="00D168A3" w:rsidRDefault="007D57ED">
    <w:pPr>
      <w:pBdr>
        <w:top w:val="nil"/>
        <w:left w:val="nil"/>
        <w:bottom w:val="nil"/>
        <w:right w:val="nil"/>
        <w:between w:val="nil"/>
      </w:pBdr>
      <w:tabs>
        <w:tab w:val="center" w:pos="4320"/>
        <w:tab w:val="right" w:pos="8640"/>
      </w:tabs>
      <w:spacing w:after="0" w:line="240" w:lineRule="auto"/>
      <w:jc w:val="center"/>
      <w:rPr>
        <w:rFonts w:ascii="Cambria" w:eastAsia="Cambria" w:hAnsi="Cambria" w:cs="Cambria"/>
        <w:color w:val="000000"/>
        <w:sz w:val="24"/>
        <w:szCs w:val="24"/>
      </w:rPr>
    </w:pPr>
    <w:r>
      <w:rPr>
        <w:rFonts w:ascii="Cambria" w:eastAsia="Cambria" w:hAnsi="Cambria" w:cs="Cambria"/>
        <w:color w:val="000000"/>
        <w:sz w:val="24"/>
        <w:szCs w:val="24"/>
        <w:lang w:val="pt"/>
      </w:rPr>
      <w:fldChar w:fldCharType="begin"/>
    </w:r>
    <w:r>
      <w:rPr>
        <w:rFonts w:ascii="Cambria" w:eastAsia="Cambria" w:hAnsi="Cambria" w:cs="Cambria"/>
        <w:color w:val="000000"/>
        <w:sz w:val="24"/>
        <w:szCs w:val="24"/>
        <w:lang w:val="pt"/>
      </w:rPr>
      <w:instrText>PAGE</w:instrText>
    </w:r>
    <w:r>
      <w:rPr>
        <w:rFonts w:ascii="Cambria" w:eastAsia="Cambria" w:hAnsi="Cambria" w:cs="Cambria"/>
        <w:color w:val="000000"/>
        <w:sz w:val="24"/>
        <w:szCs w:val="24"/>
        <w:lang w:val="pt"/>
      </w:rPr>
      <w:fldChar w:fldCharType="separate"/>
    </w:r>
    <w:r>
      <w:rPr>
        <w:rFonts w:ascii="Cambria" w:eastAsia="Cambria" w:hAnsi="Cambria" w:cs="Cambria"/>
        <w:noProof/>
        <w:color w:val="000000"/>
        <w:sz w:val="24"/>
        <w:szCs w:val="24"/>
        <w:lang w:val="pt"/>
      </w:rPr>
      <w:t>2</w:t>
    </w:r>
    <w:r>
      <w:rPr>
        <w:rFonts w:ascii="Cambria" w:eastAsia="Cambria" w:hAnsi="Cambria" w:cs="Cambria"/>
        <w:color w:val="000000"/>
        <w:sz w:val="24"/>
        <w:szCs w:val="24"/>
        <w:lang w:val="pt"/>
      </w:rPr>
      <w:fldChar w:fldCharType="end"/>
    </w:r>
  </w:p>
  <w:p w14:paraId="00000086" w14:textId="77777777" w:rsidR="00D168A3" w:rsidRDefault="00D168A3">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7"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noProof/>
        <w:lang w:val="pt"/>
      </w:rPr>
      <mc:AlternateContent>
        <mc:Choice Requires="wps">
          <w:drawing>
            <wp:anchor distT="0" distB="0" distL="0" distR="0" simplePos="0" relativeHeight="251659264" behindDoc="0" locked="0" layoutInCell="1" hidden="0" allowOverlap="1" wp14:anchorId="5A2D725E" wp14:editId="1C8964C8">
              <wp:simplePos x="0" y="0"/>
              <wp:positionH relativeFrom="column">
                <wp:posOffset>-914399</wp:posOffset>
              </wp:positionH>
              <wp:positionV relativeFrom="paragraph">
                <wp:posOffset>0</wp:posOffset>
              </wp:positionV>
              <wp:extent cx="676275" cy="376555"/>
              <wp:effectExtent l="0" t="0" r="0" b="0"/>
              <wp:wrapNone/>
              <wp:docPr id="1767178833" name="Rectangle 1767178833" descr="Interno"/>
              <wp:cNvGraphicFramePr/>
              <a:graphic xmlns:a="http://schemas.openxmlformats.org/drawingml/2006/main">
                <a:graphicData uri="http://schemas.microsoft.com/office/word/2010/wordprocessingShape">
                  <wps:wsp>
                    <wps:cNvSpPr/>
                    <wps:spPr>
                      <a:xfrm>
                        <a:off x="5017388" y="3601248"/>
                        <a:ext cx="657225" cy="357505"/>
                      </a:xfrm>
                      <a:prstGeom prst="rect">
                        <a:avLst/>
                      </a:prstGeom>
                      <a:noFill/>
                      <a:ln>
                        <a:noFill/>
                      </a:ln>
                    </wps:spPr>
                    <wps:txbx>
                      <w:txbxContent>
                        <w:p w14:paraId="34239A26" w14:textId="77777777" w:rsidR="00D168A3" w:rsidRDefault="007D57ED">
                          <w:pPr>
                            <w:spacing w:after="0" w:line="258" w:lineRule="auto"/>
                            <w:textDirection w:val="btLr"/>
                          </w:pPr>
                          <w:r>
                            <w:rPr>
                              <w:rFonts w:ascii="Calibri" w:eastAsia="Calibri" w:hAnsi="Calibri" w:cs="Calibri"/>
                              <w:color w:val="000000"/>
                              <w:sz w:val="20"/>
                              <w:lang w:val="pt"/>
                            </w:rPr>
                            <w:t>Interno</w:t>
                          </w:r>
                        </w:p>
                      </w:txbxContent>
                    </wps:txbx>
                    <wps:bodyPr spcFirstLastPara="1" wrap="square" lIns="254000" tIns="0" rIns="0" bIns="190500" anchor="b" anchorCtr="0">
                      <a:noAutofit/>
                    </wps:bodyPr>
                  </wps:wsp>
                </a:graphicData>
              </a:graphic>
            </wp:anchor>
          </w:drawing>
        </mc:Choice>
        <mc:Fallback>
          <w:pict>
            <v:rect w14:anchorId="5A2D725E" id="Rectangle 1767178833" o:spid="_x0000_s1027" alt="Interno" style="position:absolute;margin-left:-1in;margin-top:0;width:53.25pt;height:29.65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" filled="f" stroked="f">
              <v:textbox inset="20pt,0,0,15pt">
                <w:txbxContent>
                  <w:p w14:paraId="34239A26" w14:textId="77777777" w:rsidR="00D168A3" w:rsidRDefault="007D57ED">
                    <w:pPr>
                      <w:spacing w:after="0" w:line="258" w:lineRule="auto"/>
                      <w:textDirection w:val="btLr"/>
                    </w:pPr>
                    <w:r>
                      <w:rPr>
                        <w:rFonts w:ascii="Calibri" w:eastAsia="Calibri" w:hAnsi="Calibri" w:cs="Calibri"/>
                        <w:color w:val="000000"/>
                        <w:sz w:val="20"/>
                        <w:lang w:val="pt"/>
                      </w:rPr>
                      <w:t>Interno</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D8AB0" w14:textId="77777777" w:rsidR="00416F20" w:rsidRDefault="00416F20">
      <w:pPr>
        <w:spacing w:after="0" w:line="240" w:lineRule="auto"/>
      </w:pPr>
      <w:r>
        <w:separator/>
      </w:r>
    </w:p>
  </w:footnote>
  <w:footnote w:type="continuationSeparator" w:id="0">
    <w:p w14:paraId="7F308679" w14:textId="77777777" w:rsidR="00416F20" w:rsidRDefault="00416F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rFonts w:ascii="Cambria" w:eastAsia="Cambria" w:hAnsi="Cambria" w:cs="Cambria"/>
        <w:noProof/>
        <w:color w:val="000000"/>
        <w:sz w:val="24"/>
        <w:szCs w:val="24"/>
        <w:lang w:val="pt"/>
      </w:rPr>
      <w:drawing>
        <wp:anchor distT="0" distB="0" distL="0" distR="0" simplePos="0" relativeHeight="251658240" behindDoc="1" locked="0" layoutInCell="1" hidden="0" allowOverlap="1" wp14:anchorId="26434C31" wp14:editId="7ECEAF71">
          <wp:simplePos x="0" y="0"/>
          <wp:positionH relativeFrom="margin">
            <wp:align>left</wp:align>
          </wp:positionH>
          <wp:positionV relativeFrom="topMargin">
            <wp:posOffset>140298</wp:posOffset>
          </wp:positionV>
          <wp:extent cx="3069590" cy="818515"/>
          <wp:effectExtent l="0" t="0" r="0" b="0"/>
          <wp:wrapNone/>
          <wp:docPr id="1767178835" name="image1.png" descr="Texto&#10;&#10;Descrição gerada automaticamente com grau de confiança médio"/>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C0D01"/>
    <w:multiLevelType w:val="multilevel"/>
    <w:tmpl w:val="36B66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F051146"/>
    <w:multiLevelType w:val="multilevel"/>
    <w:tmpl w:val="DE16A6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44F7840"/>
    <w:multiLevelType w:val="multilevel"/>
    <w:tmpl w:val="EF5EA7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90995536">
    <w:abstractNumId w:val="1"/>
  </w:num>
  <w:num w:numId="2" w16cid:durableId="792597122">
    <w:abstractNumId w:val="0"/>
  </w:num>
  <w:num w:numId="3" w16cid:durableId="3799871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8A3"/>
    <w:rsid w:val="00007A48"/>
    <w:rsid w:val="0023086B"/>
    <w:rsid w:val="00416F20"/>
    <w:rsid w:val="00455F11"/>
    <w:rsid w:val="00723626"/>
    <w:rsid w:val="007373F6"/>
    <w:rsid w:val="00761D34"/>
    <w:rsid w:val="007D57ED"/>
    <w:rsid w:val="00824EB9"/>
    <w:rsid w:val="00982895"/>
    <w:rsid w:val="009A16DF"/>
    <w:rsid w:val="00D1014E"/>
    <w:rsid w:val="00D168A3"/>
    <w:rsid w:val="00DF4E3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88CA5"/>
  <w15:docId w15:val="{371C44BF-F9E2-486B-92AC-083CBC44B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39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6739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6739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6739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6739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673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73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73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73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73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6739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6739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6739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6739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6739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673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73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73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739C"/>
    <w:rPr>
      <w:rFonts w:eastAsiaTheme="majorEastAsia" w:cstheme="majorBidi"/>
      <w:color w:val="272727" w:themeColor="text1" w:themeTint="D8"/>
    </w:rPr>
  </w:style>
  <w:style w:type="character" w:customStyle="1" w:styleId="TitleChar">
    <w:name w:val="Title Char"/>
    <w:basedOn w:val="DefaultParagraphFont"/>
    <w:link w:val="Title"/>
    <w:uiPriority w:val="10"/>
    <w:rsid w:val="00C673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673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739C"/>
    <w:pPr>
      <w:spacing w:before="160"/>
      <w:jc w:val="center"/>
    </w:pPr>
    <w:rPr>
      <w:i/>
      <w:iCs/>
      <w:color w:val="404040" w:themeColor="text1" w:themeTint="BF"/>
    </w:rPr>
  </w:style>
  <w:style w:type="character" w:customStyle="1" w:styleId="QuoteChar">
    <w:name w:val="Quote Char"/>
    <w:basedOn w:val="DefaultParagraphFont"/>
    <w:link w:val="Quote"/>
    <w:uiPriority w:val="29"/>
    <w:rsid w:val="00C6739C"/>
    <w:rPr>
      <w:i/>
      <w:iCs/>
      <w:color w:val="404040" w:themeColor="text1" w:themeTint="BF"/>
    </w:rPr>
  </w:style>
  <w:style w:type="paragraph" w:styleId="ListParagraph">
    <w:name w:val="List Paragraph"/>
    <w:basedOn w:val="Normal"/>
    <w:uiPriority w:val="34"/>
    <w:qFormat/>
    <w:rsid w:val="00C6739C"/>
    <w:pPr>
      <w:ind w:left="720"/>
      <w:contextualSpacing/>
    </w:pPr>
  </w:style>
  <w:style w:type="character" w:styleId="IntenseEmphasis">
    <w:name w:val="Intense Emphasis"/>
    <w:basedOn w:val="DefaultParagraphFont"/>
    <w:uiPriority w:val="21"/>
    <w:qFormat/>
    <w:rsid w:val="00C6739C"/>
    <w:rPr>
      <w:i/>
      <w:iCs/>
      <w:color w:val="2E74B5" w:themeColor="accent1" w:themeShade="BF"/>
    </w:rPr>
  </w:style>
  <w:style w:type="paragraph" w:styleId="IntenseQuote">
    <w:name w:val="Intense Quote"/>
    <w:basedOn w:val="Normal"/>
    <w:next w:val="Normal"/>
    <w:link w:val="IntenseQuoteChar"/>
    <w:uiPriority w:val="30"/>
    <w:qFormat/>
    <w:rsid w:val="00C6739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6739C"/>
    <w:rPr>
      <w:i/>
      <w:iCs/>
      <w:color w:val="2E74B5" w:themeColor="accent1" w:themeShade="BF"/>
    </w:rPr>
  </w:style>
  <w:style w:type="character" w:styleId="IntenseReference">
    <w:name w:val="Intense Reference"/>
    <w:basedOn w:val="DefaultParagraphFont"/>
    <w:uiPriority w:val="32"/>
    <w:qFormat/>
    <w:rsid w:val="00C6739C"/>
    <w:rPr>
      <w:b/>
      <w:bCs/>
      <w:smallCaps/>
      <w:color w:val="2E74B5" w:themeColor="accent1" w:themeShade="BF"/>
      <w:spacing w:val="5"/>
    </w:rPr>
  </w:style>
  <w:style w:type="paragraph" w:styleId="FootnoteText">
    <w:name w:val="footnote text"/>
    <w:basedOn w:val="Normal"/>
    <w:link w:val="FootnoteTextChar"/>
    <w:uiPriority w:val="99"/>
    <w:semiHidden/>
    <w:unhideWhenUsed/>
    <w:rsid w:val="00F64B3B"/>
    <w:pPr>
      <w:spacing w:after="0" w:line="240" w:lineRule="auto"/>
    </w:pPr>
    <w:rPr>
      <w:rFonts w:ascii="Cambria" w:eastAsia="Cambria" w:hAnsi="Cambria" w:cs="Times New Roman"/>
      <w:sz w:val="24"/>
      <w:szCs w:val="24"/>
    </w:rPr>
  </w:style>
  <w:style w:type="character" w:customStyle="1" w:styleId="FootnoteTextChar">
    <w:name w:val="Footnote Text Char"/>
    <w:basedOn w:val="DefaultParagraphFont"/>
    <w:link w:val="FootnoteText"/>
    <w:uiPriority w:val="99"/>
    <w:semiHidden/>
    <w:rsid w:val="00F64B3B"/>
    <w:rPr>
      <w:rFonts w:ascii="Cambria" w:eastAsia="Cambria" w:hAnsi="Cambria" w:cs="Times New Roman"/>
      <w:kern w:val="0"/>
      <w:sz w:val="24"/>
      <w:szCs w:val="24"/>
    </w:rPr>
  </w:style>
  <w:style w:type="character" w:styleId="FootnoteReference">
    <w:name w:val="footnote reference"/>
    <w:uiPriority w:val="99"/>
    <w:semiHidden/>
    <w:unhideWhenUsed/>
    <w:rsid w:val="00F64B3B"/>
    <w:rPr>
      <w:vertAlign w:val="superscript"/>
    </w:rPr>
  </w:style>
  <w:style w:type="paragraph" w:styleId="Header">
    <w:name w:val="header"/>
    <w:basedOn w:val="Normal"/>
    <w:link w:val="HeaderChar"/>
    <w:uiPriority w:val="99"/>
    <w:unhideWhenUsed/>
    <w:rsid w:val="00F64B3B"/>
    <w:pPr>
      <w:tabs>
        <w:tab w:val="center" w:pos="4320"/>
        <w:tab w:val="right" w:pos="8640"/>
      </w:tabs>
      <w:spacing w:after="0" w:line="240" w:lineRule="auto"/>
    </w:pPr>
    <w:rPr>
      <w:rFonts w:ascii="Cambria" w:eastAsia="Cambria" w:hAnsi="Cambria" w:cs="Times New Roman"/>
      <w:sz w:val="24"/>
      <w:szCs w:val="24"/>
    </w:rPr>
  </w:style>
  <w:style w:type="character" w:customStyle="1" w:styleId="HeaderChar">
    <w:name w:val="Header Char"/>
    <w:basedOn w:val="DefaultParagraphFont"/>
    <w:link w:val="Header"/>
    <w:uiPriority w:val="99"/>
    <w:rsid w:val="00F64B3B"/>
    <w:rPr>
      <w:rFonts w:ascii="Cambria" w:eastAsia="Cambria" w:hAnsi="Cambria" w:cs="Times New Roman"/>
      <w:kern w:val="0"/>
      <w:sz w:val="24"/>
      <w:szCs w:val="24"/>
    </w:rPr>
  </w:style>
  <w:style w:type="paragraph" w:styleId="Footer">
    <w:name w:val="footer"/>
    <w:basedOn w:val="Normal"/>
    <w:link w:val="FooterChar"/>
    <w:uiPriority w:val="99"/>
    <w:unhideWhenUsed/>
    <w:rsid w:val="00F64B3B"/>
    <w:pPr>
      <w:tabs>
        <w:tab w:val="center" w:pos="4320"/>
        <w:tab w:val="right" w:pos="8640"/>
      </w:tabs>
      <w:spacing w:after="0" w:line="240" w:lineRule="auto"/>
    </w:pPr>
    <w:rPr>
      <w:rFonts w:ascii="Cambria" w:eastAsia="Cambria" w:hAnsi="Cambria" w:cs="Times New Roman"/>
      <w:sz w:val="24"/>
      <w:szCs w:val="24"/>
    </w:rPr>
  </w:style>
  <w:style w:type="character" w:customStyle="1" w:styleId="FooterChar">
    <w:name w:val="Footer Char"/>
    <w:basedOn w:val="DefaultParagraphFont"/>
    <w:link w:val="Footer"/>
    <w:uiPriority w:val="99"/>
    <w:rsid w:val="00F64B3B"/>
    <w:rPr>
      <w:rFonts w:ascii="Cambria" w:eastAsia="Cambria" w:hAnsi="Cambria" w:cs="Times New Roman"/>
      <w:kern w:val="0"/>
      <w:sz w:val="24"/>
      <w:szCs w:val="24"/>
    </w:rPr>
  </w:style>
  <w:style w:type="table" w:styleId="TableGrid">
    <w:name w:val="Table Grid"/>
    <w:basedOn w:val="TableNormal"/>
    <w:uiPriority w:val="39"/>
    <w:rsid w:val="00C15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97482"/>
    <w:pPr>
      <w:spacing w:after="0" w:line="240" w:lineRule="auto"/>
    </w:pPr>
  </w:style>
  <w:style w:type="character" w:styleId="CommentReference">
    <w:name w:val="annotation reference"/>
    <w:basedOn w:val="DefaultParagraphFont"/>
    <w:uiPriority w:val="99"/>
    <w:semiHidden/>
    <w:unhideWhenUsed/>
    <w:rsid w:val="00400BC7"/>
    <w:rPr>
      <w:sz w:val="16"/>
      <w:szCs w:val="16"/>
    </w:rPr>
  </w:style>
  <w:style w:type="paragraph" w:styleId="CommentText">
    <w:name w:val="annotation text"/>
    <w:basedOn w:val="Normal"/>
    <w:link w:val="CommentTextChar"/>
    <w:uiPriority w:val="99"/>
    <w:unhideWhenUsed/>
    <w:rsid w:val="00400BC7"/>
    <w:pPr>
      <w:spacing w:line="240" w:lineRule="auto"/>
    </w:pPr>
    <w:rPr>
      <w:sz w:val="20"/>
      <w:szCs w:val="20"/>
    </w:rPr>
  </w:style>
  <w:style w:type="character" w:customStyle="1" w:styleId="CommentTextChar">
    <w:name w:val="Comment Text Char"/>
    <w:basedOn w:val="DefaultParagraphFont"/>
    <w:link w:val="CommentText"/>
    <w:uiPriority w:val="99"/>
    <w:rsid w:val="00400BC7"/>
    <w:rPr>
      <w:sz w:val="20"/>
      <w:szCs w:val="20"/>
    </w:rPr>
  </w:style>
  <w:style w:type="paragraph" w:styleId="CommentSubject">
    <w:name w:val="annotation subject"/>
    <w:basedOn w:val="CommentText"/>
    <w:next w:val="CommentText"/>
    <w:link w:val="CommentSubjectChar"/>
    <w:uiPriority w:val="99"/>
    <w:semiHidden/>
    <w:unhideWhenUsed/>
    <w:rsid w:val="00400BC7"/>
    <w:rPr>
      <w:b/>
      <w:bCs/>
    </w:rPr>
  </w:style>
  <w:style w:type="character" w:customStyle="1" w:styleId="CommentSubjectChar">
    <w:name w:val="Comment Subject Char"/>
    <w:basedOn w:val="CommentTextChar"/>
    <w:link w:val="CommentSubject"/>
    <w:uiPriority w:val="99"/>
    <w:semiHidden/>
    <w:rsid w:val="00400BC7"/>
    <w:rPr>
      <w:b/>
      <w:bCs/>
      <w:sz w:val="20"/>
      <w:szCs w:val="20"/>
    </w:rPr>
  </w:style>
  <w:style w:type="paragraph" w:styleId="NormalWeb">
    <w:name w:val="Normal (Web)"/>
    <w:basedOn w:val="Normal"/>
    <w:uiPriority w:val="99"/>
    <w:semiHidden/>
    <w:unhideWhenUsed/>
    <w:rsid w:val="00E41CB0"/>
    <w:rPr>
      <w:rFonts w:ascii="Times New Roman" w:hAnsi="Times New Roman" w:cs="Times New Roman"/>
      <w:sz w:val="24"/>
      <w:szCs w:val="24"/>
    </w:rPr>
  </w:style>
  <w:style w:type="character" w:styleId="Strong">
    <w:name w:val="Strong"/>
    <w:basedOn w:val="DefaultParagraphFont"/>
    <w:uiPriority w:val="22"/>
    <w:qFormat/>
    <w:rsid w:val="00E41CB0"/>
    <w:rPr>
      <w:b/>
      <w:bCs/>
    </w:rPr>
  </w:style>
  <w:style w:type="character" w:styleId="Hyperlink">
    <w:name w:val="Hyperlink"/>
    <w:basedOn w:val="DefaultParagraphFont"/>
    <w:uiPriority w:val="99"/>
    <w:unhideWhenUsed/>
    <w:rsid w:val="002D2886"/>
    <w:rPr>
      <w:color w:val="0563C1" w:themeColor="hyperlink"/>
      <w:u w:val="single"/>
    </w:rPr>
  </w:style>
  <w:style w:type="character" w:styleId="UnresolvedMention">
    <w:name w:val="Unresolved Mention"/>
    <w:basedOn w:val="DefaultParagraphFont"/>
    <w:uiPriority w:val="99"/>
    <w:semiHidden/>
    <w:unhideWhenUsed/>
    <w:rsid w:val="002D2886"/>
    <w:rPr>
      <w:color w:val="605E5C"/>
      <w:shd w:val="clear" w:color="auto" w:fill="E1DFDD"/>
    </w:rPr>
  </w:style>
  <w:style w:type="character" w:styleId="FollowedHyperlink">
    <w:name w:val="FollowedHyperlink"/>
    <w:basedOn w:val="DefaultParagraphFont"/>
    <w:uiPriority w:val="99"/>
    <w:semiHidden/>
    <w:unhideWhenUsed/>
    <w:rsid w:val="00C63C8B"/>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150035">
      <w:bodyDiv w:val="1"/>
      <w:marLeft w:val="0"/>
      <w:marRight w:val="0"/>
      <w:marTop w:val="0"/>
      <w:marBottom w:val="0"/>
      <w:divBdr>
        <w:top w:val="none" w:sz="0" w:space="0" w:color="auto"/>
        <w:left w:val="none" w:sz="0" w:space="0" w:color="auto"/>
        <w:bottom w:val="none" w:sz="0" w:space="0" w:color="auto"/>
        <w:right w:val="none" w:sz="0" w:space="0" w:color="auto"/>
      </w:divBdr>
    </w:div>
    <w:div w:id="834759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llianceformalariaprevention.com/uploads/resources/Step4/MTI_SBD_Plano_avaliac%CC%A7a%CC%83o_mitigac%CC%A7a%CC%83o_riscos_052025_PT.xls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lianceformalariaprevention.com/uploads/resources/Step4/MTI_SBD_Plano_avaliac%CC%A7a%CC%83o_mitigac%CC%A7a%CC%83o_riscos_052025_PT.xlsx"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allianceformalariaprevention.com/uploads/resources/Step4/MTI_PdA_SBD_Adapta%CC%81vel_062025_PT.docx" TargetMode="External"/><Relationship Id="rId4" Type="http://schemas.openxmlformats.org/officeDocument/2006/relationships/settings" Target="settings.xml"/><Relationship Id="rId9" Type="http://schemas.openxmlformats.org/officeDocument/2006/relationships/hyperlink" Target="https://unesdoc.unesco.org/ark:/48223/pf0000190604"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JXknNbS6IgJRGYGZOc4vO4TBvXg==">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1398</Words>
  <Characters>7974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Ketty Ndhlovu</dc:creator>
  <cp:lastModifiedBy>Viv Seabright</cp:lastModifiedBy>
  <cp:revision>2</cp:revision>
  <dcterms:created xsi:type="dcterms:W3CDTF">2025-08-03T09:03:00Z</dcterms:created>
  <dcterms:modified xsi:type="dcterms:W3CDTF">2025-08-03T09:03:00Z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820dc528af5c25db49057c27d1a44b7421dbf855ae28b133653a048481e78673</vt:lpwstr>
  </property>
  <property fmtid="{D5CDD505-2E9C-101B-9397-08002B2CF9AE}" pid="3" name="Mendeley Document_1">
    <vt:lpwstr>True</vt:lpwstr>
  </property>
  <property fmtid="{D5CDD505-2E9C-101B-9397-08002B2CF9AE}" pid="4" name="Mendeley Citation Style_1">
    <vt:lpwstr>http://www.zotero.org/styles/vancouver</vt:lpwstr>
  </property>
  <property fmtid="{D5CDD505-2E9C-101B-9397-08002B2CF9AE}" pid="5" name="Mendeley Unique User Id_1">
    <vt:lpwstr>f411c058-73a7-35df-a6d5-9c897562a2c4</vt:lpwstr>
  </property>
  <property fmtid="{D5CDD505-2E9C-101B-9397-08002B2CF9AE}" pid="6" name="ClassificationContentMarkingFooterShapeIds">
    <vt:lpwstr>6955024d,14d6411,4382406b</vt:lpwstr>
  </property>
  <property fmtid="{D5CDD505-2E9C-101B-9397-08002B2CF9AE}" pid="7" name="ClassificationContentMarkingFooterFontProps">
    <vt:lpwstr>#000000,10,Calibri</vt:lpwstr>
  </property>
  <property fmtid="{D5CDD505-2E9C-101B-9397-08002B2CF9AE}" pid="8" name="ClassificationContentMarkingFooterText">
    <vt:lpwstr>Internal</vt:lpwstr>
  </property>
  <property fmtid="{D5CDD505-2E9C-101B-9397-08002B2CF9AE}" pid="9" name="MSIP_Label_6627b15a-80ec-4ef7-8353-f32e3c89bf3e_Enabled">
    <vt:lpwstr>true</vt:lpwstr>
  </property>
  <property fmtid="{D5CDD505-2E9C-101B-9397-08002B2CF9AE}" pid="10" name="MSIP_Label_6627b15a-80ec-4ef7-8353-f32e3c89bf3e_SetDate">
    <vt:lpwstr>2025-03-06T05:34:12Z</vt:lpwstr>
  </property>
  <property fmtid="{D5CDD505-2E9C-101B-9397-08002B2CF9AE}" pid="11" name="MSIP_Label_6627b15a-80ec-4ef7-8353-f32e3c89bf3e_Method">
    <vt:lpwstr>Privileged</vt:lpwstr>
  </property>
  <property fmtid="{D5CDD505-2E9C-101B-9397-08002B2CF9AE}" pid="12" name="MSIP_Label_6627b15a-80ec-4ef7-8353-f32e3c89bf3e_Name">
    <vt:lpwstr>IFRC Internal</vt:lpwstr>
  </property>
  <property fmtid="{D5CDD505-2E9C-101B-9397-08002B2CF9AE}" pid="13" name="MSIP_Label_6627b15a-80ec-4ef7-8353-f32e3c89bf3e_SiteId">
    <vt:lpwstr>a2b53be5-734e-4e6c-ab0d-d184f60fd917</vt:lpwstr>
  </property>
  <property fmtid="{D5CDD505-2E9C-101B-9397-08002B2CF9AE}" pid="14" name="MSIP_Label_6627b15a-80ec-4ef7-8353-f32e3c89bf3e_ActionId">
    <vt:lpwstr>a4ebf7a2-095d-4784-b676-7e9964ddce24</vt:lpwstr>
  </property>
  <property fmtid="{D5CDD505-2E9C-101B-9397-08002B2CF9AE}" pid="15" name="MSIP_Label_6627b15a-80ec-4ef7-8353-f32e3c89bf3e_ContentBits">
    <vt:lpwstr>2</vt:lpwstr>
  </property>
  <property fmtid="{D5CDD505-2E9C-101B-9397-08002B2CF9AE}" pid="16" name="MSIP_Label_6627b15a-80ec-4ef7-8353-f32e3c89bf3e_Tag">
    <vt:lpwstr>10, 0, 1, 1</vt:lpwstr>
  </property>
  <property fmtid="{D5CDD505-2E9C-101B-9397-08002B2CF9AE}" pid="17" name="ContentTypeId">
    <vt:lpwstr>0x010100BF11AF2F54683D48B47D51E7C5C20D0A</vt:lpwstr>
  </property>
  <property fmtid="{D5CDD505-2E9C-101B-9397-08002B2CF9AE}" pid="18" name="MediaServiceImageTags">
    <vt:lpwstr/>
  </property>
</Properties>
</file>