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EB100C" w14:textId="77777777" w:rsidR="006A0CC3" w:rsidRDefault="00743C78">
      <w:pPr>
        <w:spacing w:line="240" w:lineRule="auto"/>
        <w:rPr>
          <w:rFonts w:ascii="Calibri" w:eastAsia="Calibri" w:hAnsi="Calibri" w:cs="Calibri"/>
          <w:b/>
          <w:bCs/>
          <w:sz w:val="36"/>
          <w:szCs w:val="36"/>
        </w:rPr>
      </w:pPr>
      <w:r>
        <w:rPr>
          <w:rFonts w:ascii="Calibri" w:eastAsia="Calibri" w:hAnsi="Calibri" w:cs="Calibri"/>
          <w:b/>
          <w:bCs/>
          <w:sz w:val="36"/>
          <w:szCs w:val="36"/>
        </w:rPr>
        <w:t>Procédures opérationnelles standard (POS)</w:t>
      </w:r>
    </w:p>
    <w:p w14:paraId="25D33FE1" w14:textId="77777777" w:rsidR="006A0CC3" w:rsidRDefault="00743C78">
      <w:pPr>
        <w:spacing w:line="240" w:lineRule="auto"/>
        <w:rPr>
          <w:rFonts w:ascii="Calibri" w:eastAsia="Calibri" w:hAnsi="Calibri" w:cs="Calibri"/>
          <w:b/>
          <w:bCs/>
          <w:sz w:val="36"/>
          <w:szCs w:val="36"/>
        </w:rPr>
      </w:pPr>
      <w:r>
        <w:rPr>
          <w:rFonts w:ascii="Calibri" w:eastAsia="Calibri" w:hAnsi="Calibri" w:cs="Calibri"/>
          <w:b/>
          <w:bCs/>
          <w:sz w:val="36"/>
          <w:szCs w:val="36"/>
        </w:rPr>
        <w:t>Scannage de codes-barres : Identification automatique et capture de données (AIDC) pour la programmation de la chaîne d’approvisionnement des moustiquaires imprégnées d’insecticide (MII)</w:t>
      </w:r>
    </w:p>
    <w:p w14:paraId="344651F6" w14:textId="77777777" w:rsidR="006A0CC3" w:rsidRDefault="00743C78">
      <w:pPr>
        <w:spacing w:line="240" w:lineRule="auto"/>
        <w:rPr>
          <w:rFonts w:ascii="Calibri" w:eastAsia="Calibri" w:hAnsi="Calibri" w:cs="Calibri"/>
          <w:sz w:val="20"/>
          <w:szCs w:val="20"/>
        </w:rPr>
      </w:pPr>
      <w:r>
        <w:rPr>
          <w:rFonts w:ascii="Calibri" w:eastAsia="Calibri" w:hAnsi="Calibri" w:cs="Calibri"/>
          <w:sz w:val="20"/>
          <w:szCs w:val="20"/>
        </w:rPr>
        <w:t>Janvier 2026</w:t>
      </w:r>
    </w:p>
    <w:p w14:paraId="08C31F31" w14:textId="77777777" w:rsidR="006A0CC3" w:rsidRDefault="00743C78">
      <w:pPr>
        <w:spacing w:line="240" w:lineRule="auto"/>
        <w:rPr>
          <w:rFonts w:ascii="Calibri" w:eastAsia="Calibri" w:hAnsi="Calibri" w:cs="Calibri"/>
          <w:b/>
          <w:bCs/>
          <w:color w:val="EE0000"/>
        </w:rPr>
      </w:pPr>
      <w:r>
        <w:rPr>
          <w:rFonts w:ascii="Calibri" w:eastAsia="Calibri" w:hAnsi="Calibri" w:cs="Calibri"/>
          <w:b/>
          <w:bCs/>
          <w:color w:val="EE0000"/>
        </w:rPr>
        <w:t>Outil adaptable</w:t>
      </w:r>
    </w:p>
    <w:p w14:paraId="40903F97" w14:textId="77777777" w:rsidR="006A0CC3" w:rsidRDefault="006A0CC3">
      <w:pPr>
        <w:spacing w:line="240" w:lineRule="auto"/>
        <w:rPr>
          <w:rFonts w:ascii="Calibri" w:eastAsia="Calibri" w:hAnsi="Calibri" w:cs="Calibri"/>
        </w:rPr>
      </w:pPr>
    </w:p>
    <w:p w14:paraId="78E464CF" w14:textId="77777777" w:rsidR="006A0CC3" w:rsidRDefault="00743C78">
      <w:pPr>
        <w:spacing w:line="240" w:lineRule="auto"/>
        <w:rPr>
          <w:rFonts w:ascii="Calibri" w:eastAsia="Calibri" w:hAnsi="Calibri" w:cs="Calibri"/>
          <w:color w:val="0070C0"/>
        </w:rPr>
      </w:pPr>
      <w:r>
        <w:rPr>
          <w:rFonts w:ascii="Calibri" w:eastAsia="Calibri" w:hAnsi="Calibri" w:cs="Calibri"/>
          <w:color w:val="0070C0"/>
        </w:rPr>
        <w:t>Ces POS sont complémentaires au « Guide pour la planification du scannage des codes-barres dans la chaîne d’approvisionnement des moustiquaires imprégnées d’insecticide (MII) au niveau national » de l’APP. Veuillez les adapter au contexte du pays et de la chaîne d’approvisionnement des MII.</w:t>
      </w:r>
    </w:p>
    <w:p w14:paraId="50B0C191" w14:textId="77777777" w:rsidR="003F1E34" w:rsidRDefault="003F1E34">
      <w:pPr>
        <w:spacing w:line="240" w:lineRule="auto"/>
        <w:rPr>
          <w:rFonts w:ascii="Calibri" w:eastAsia="Calibri" w:hAnsi="Calibri" w:cs="Calibri"/>
        </w:rPr>
      </w:pPr>
    </w:p>
    <w:p w14:paraId="283DD352" w14:textId="77995723" w:rsidR="006A0CC3" w:rsidRDefault="00743C78">
      <w:pPr>
        <w:spacing w:line="240" w:lineRule="auto"/>
        <w:rPr>
          <w:rFonts w:ascii="Calibri" w:eastAsia="Calibri" w:hAnsi="Calibri" w:cs="Calibri"/>
          <w:b/>
          <w:bCs/>
        </w:rPr>
      </w:pPr>
      <w:r>
        <w:rPr>
          <w:rFonts w:ascii="Calibri" w:eastAsia="Calibri" w:hAnsi="Calibri" w:cs="Calibri"/>
          <w:b/>
          <w:bCs/>
        </w:rPr>
        <w:t xml:space="preserve">Note : Ce document utilise la terminologie adoptée par </w:t>
      </w:r>
      <w:hyperlink r:id="rId8">
        <w:r>
          <w:rPr>
            <w:rFonts w:ascii="Calibri" w:eastAsia="Calibri" w:hAnsi="Calibri" w:cs="Calibri"/>
            <w:b/>
            <w:bCs/>
            <w:color w:val="467886"/>
            <w:u w:val="single"/>
          </w:rPr>
          <w:t>GSI</w:t>
        </w:r>
      </w:hyperlink>
      <w:r>
        <w:rPr>
          <w:rFonts w:ascii="Calibri" w:eastAsia="Calibri" w:hAnsi="Calibri" w:cs="Calibri"/>
          <w:b/>
          <w:bCs/>
        </w:rPr>
        <w:t xml:space="preserve"> : dans ce cas, agrégation (ou groupage) et désagrégation (ou dégroupage). </w:t>
      </w:r>
      <w:hyperlink r:id="rId9">
        <w:r>
          <w:rPr>
            <w:rFonts w:ascii="Calibri" w:eastAsia="Calibri" w:hAnsi="Calibri" w:cs="Calibri"/>
            <w:b/>
            <w:bCs/>
            <w:color w:val="467886"/>
            <w:u w:val="single"/>
          </w:rPr>
          <w:t>GSI</w:t>
        </w:r>
      </w:hyperlink>
      <w:r>
        <w:rPr>
          <w:rFonts w:ascii="Calibri" w:eastAsia="Calibri" w:hAnsi="Calibri" w:cs="Calibri"/>
          <w:b/>
          <w:bCs/>
        </w:rPr>
        <w:t xml:space="preserve"> est une organisation internationale de standards qui développe et maintient un système complet de normes de données pour les chaînes. </w:t>
      </w:r>
    </w:p>
    <w:p w14:paraId="66E0C348" w14:textId="77777777" w:rsidR="006A0CC3" w:rsidRDefault="006A0CC3">
      <w:pPr>
        <w:spacing w:line="240" w:lineRule="auto"/>
        <w:rPr>
          <w:rFonts w:ascii="Calibri" w:eastAsia="Calibri" w:hAnsi="Calibri" w:cs="Calibri"/>
        </w:rPr>
      </w:pPr>
    </w:p>
    <w:p w14:paraId="57B0A0D5" w14:textId="77777777" w:rsidR="006A0CC3" w:rsidRDefault="00743C78">
      <w:pPr>
        <w:spacing w:line="240" w:lineRule="auto"/>
        <w:rPr>
          <w:rFonts w:ascii="Calibri" w:eastAsia="Calibri" w:hAnsi="Calibri" w:cs="Calibri"/>
        </w:rPr>
      </w:pPr>
      <w:r>
        <w:rPr>
          <w:rFonts w:ascii="Calibri" w:eastAsia="Calibri" w:hAnsi="Calibri" w:cs="Calibri"/>
        </w:rPr>
        <w:t>La capacité de la programmation des MII à disposer d’une visibilité de bout en bout de la chaîne d’approvisionnement dépend en partie de l’existence et de l’utilisation de procédures opérationnelles standard (POS) spécifiques aux processus basés sur l’AIDC qui sont utilisés dans les chaînes d’approvisionnement des MII. Les POS destinées à être utilisées dans les chaînes d’approvisionnement des MII doivent être élaborées et utilisées dans le cadre d’un système de gestion solide qui sert de base en matière de qualité, de cohérence et de conformité.</w:t>
      </w:r>
    </w:p>
    <w:p w14:paraId="2E16F900" w14:textId="77777777" w:rsidR="006A0CC3" w:rsidRDefault="006A0CC3">
      <w:pPr>
        <w:spacing w:line="240" w:lineRule="auto"/>
        <w:rPr>
          <w:rFonts w:ascii="Calibri" w:eastAsia="Calibri" w:hAnsi="Calibri" w:cs="Calibri"/>
        </w:rPr>
      </w:pPr>
    </w:p>
    <w:p w14:paraId="425B44E0" w14:textId="77777777" w:rsidR="006A0CC3" w:rsidRDefault="00743C78">
      <w:pPr>
        <w:spacing w:line="240" w:lineRule="auto"/>
        <w:rPr>
          <w:rFonts w:ascii="Calibri" w:eastAsia="Calibri" w:hAnsi="Calibri" w:cs="Calibri"/>
        </w:rPr>
      </w:pPr>
      <w:r>
        <w:rPr>
          <w:rFonts w:ascii="Calibri" w:eastAsia="Calibri" w:hAnsi="Calibri" w:cs="Calibri"/>
        </w:rPr>
        <w:t>Les POS génériques qui sont orientées vers les principales actions d’agrégation et désagrégation et de déréférencement que la programmation des MII est susceptible de rencontrer sont fournies ici en complément du « Guide pour la planification de l’utilisation du scannage des codes-barres dans la chaîne d’approvisionnement des moustiquaires imprégnées d’insecticide (MII) au niveau national ». En fonction des technologies numériques utilisées, ces POS, ou les POS existantes déjà utilisées pour d’autres produits de santé dans les pays, peuvent être facilement modifiées ou adaptées au contexte du pays et de la chaîne d’approvisionnement des MII.</w:t>
      </w:r>
    </w:p>
    <w:p w14:paraId="426E10FA" w14:textId="77777777" w:rsidR="006A0CC3" w:rsidRDefault="006A0CC3">
      <w:pPr>
        <w:spacing w:line="240" w:lineRule="auto"/>
        <w:rPr>
          <w:rFonts w:ascii="Calibri" w:eastAsia="Calibri" w:hAnsi="Calibri" w:cs="Calibri"/>
        </w:rPr>
      </w:pPr>
    </w:p>
    <w:p w14:paraId="138E2B3A" w14:textId="77777777" w:rsidR="006A0CC3" w:rsidRDefault="00743C78">
      <w:pPr>
        <w:spacing w:line="240" w:lineRule="auto"/>
        <w:rPr>
          <w:rFonts w:ascii="Calibri" w:eastAsia="Calibri" w:hAnsi="Calibri" w:cs="Calibri"/>
        </w:rPr>
      </w:pPr>
      <w:r>
        <w:rPr>
          <w:rFonts w:ascii="Calibri" w:eastAsia="Calibri" w:hAnsi="Calibri" w:cs="Calibri"/>
        </w:rPr>
        <w:t>Les circonstances et le contexte étant des facteurs essentiels à prendre en compte lors de l’intégration de l’AIDC dans la programmation des MII, les POS peuvent varier considérablement d’un groupe d’utilisateurs à l’autre, même si elles sont fondées sur les mêmes principes AIDC. On peut citer, à titre d’exemple, la décision d’incorporer la réception aveugle ou la réception guidée pendant les procédures de réception des MII. Dans cet exemple, le choix entre ne pas faire connaître à l’avance au réceptionnaire la quantité attendue (réception aveugle) et faire connaître au réceptionnaire la quantité attendue (réception guidée) peut être fondé sur les bonnes pratiques en matière de gestion des produits. Lorsque le choix de l’une ou l’autre solution est éclairé par l’impact connu du choix sur la configuration du logiciel, l’efficacité opérationnelle, la précision et les besoins en main-d’œuvre, les POS de l’un ou l’autre scénario seront élaborées différemment. Quatre exemples différents sont présentés ci-dessous.</w:t>
      </w:r>
    </w:p>
    <w:p w14:paraId="501D12D5" w14:textId="77777777" w:rsidR="006A0CC3" w:rsidRDefault="006A0CC3">
      <w:pPr>
        <w:spacing w:line="240" w:lineRule="auto"/>
        <w:rPr>
          <w:rFonts w:ascii="Calibri" w:eastAsia="Calibri" w:hAnsi="Calibri" w:cs="Calibri"/>
        </w:rPr>
      </w:pPr>
    </w:p>
    <w:p w14:paraId="06684927" w14:textId="77777777" w:rsidR="006A0CC3" w:rsidRDefault="00743C78">
      <w:pPr>
        <w:spacing w:line="240" w:lineRule="auto"/>
        <w:rPr>
          <w:rFonts w:ascii="Calibri" w:eastAsia="Calibri" w:hAnsi="Calibri" w:cs="Calibri"/>
        </w:rPr>
      </w:pPr>
      <w:r>
        <w:rPr>
          <w:rFonts w:ascii="Calibri" w:eastAsia="Calibri" w:hAnsi="Calibri" w:cs="Calibri"/>
        </w:rPr>
        <w:t xml:space="preserve">Dans chaque exemple, l’utilisateur est invité à se référer à des recommandations supplémentaires qui devraient être élaborées pour l’aider à résoudre les problèmes qui pourraient l’empêcher </w:t>
      </w:r>
      <w:r>
        <w:rPr>
          <w:rFonts w:ascii="Calibri" w:eastAsia="Calibri" w:hAnsi="Calibri" w:cs="Calibri"/>
        </w:rPr>
        <w:lastRenderedPageBreak/>
        <w:t>d’adhérer aux instructions fournies. Les parties concernées de la programmation des MII qui prévoient d’élaborer de nouvelles POS ou de réviser les procédures existantes sont invitées à examiner la partie intitulée « Procédures de rapprochement des écarts de désagrégation des balles de MII » en annexe.</w:t>
      </w:r>
    </w:p>
    <w:p w14:paraId="69CB137D" w14:textId="77777777" w:rsidR="006A0CC3" w:rsidRDefault="006A0CC3">
      <w:pPr>
        <w:spacing w:line="240" w:lineRule="auto"/>
        <w:rPr>
          <w:rFonts w:ascii="Calibri" w:eastAsia="Calibri" w:hAnsi="Calibri" w:cs="Calibri"/>
        </w:rPr>
      </w:pPr>
    </w:p>
    <w:p w14:paraId="2EB796B3" w14:textId="77777777" w:rsidR="006A0CC3" w:rsidRDefault="00743C78">
      <w:pPr>
        <w:spacing w:line="240" w:lineRule="auto"/>
        <w:rPr>
          <w:rFonts w:ascii="Calibri" w:eastAsia="Calibri" w:hAnsi="Calibri" w:cs="Calibri"/>
          <w:b/>
          <w:bCs/>
        </w:rPr>
      </w:pPr>
      <w:r>
        <w:rPr>
          <w:rFonts w:ascii="Calibri" w:eastAsia="Calibri" w:hAnsi="Calibri" w:cs="Calibri"/>
          <w:b/>
          <w:bCs/>
        </w:rPr>
        <w:t>1.</w:t>
      </w:r>
      <w:r>
        <w:rPr>
          <w:rFonts w:ascii="Calibri" w:eastAsia="Calibri" w:hAnsi="Calibri" w:cs="Calibri"/>
          <w:b/>
          <w:bCs/>
        </w:rPr>
        <w:tab/>
        <w:t>RÉCEPTION DES BONS DE COMMANDE</w:t>
      </w:r>
    </w:p>
    <w:p w14:paraId="541D2745" w14:textId="77777777" w:rsidR="006A0CC3" w:rsidRDefault="006A0CC3">
      <w:pPr>
        <w:spacing w:line="240" w:lineRule="auto"/>
        <w:rPr>
          <w:rFonts w:ascii="Calibri" w:eastAsia="Calibri" w:hAnsi="Calibri" w:cs="Calibri"/>
          <w:strike/>
        </w:rPr>
      </w:pPr>
    </w:p>
    <w:p w14:paraId="7D785E86" w14:textId="77777777" w:rsidR="006A0CC3" w:rsidRDefault="00743C78">
      <w:pPr>
        <w:spacing w:line="240" w:lineRule="auto"/>
        <w:rPr>
          <w:rFonts w:ascii="Calibri" w:eastAsia="Calibri" w:hAnsi="Calibri" w:cs="Calibri"/>
        </w:rPr>
      </w:pPr>
      <w:r>
        <w:rPr>
          <w:rFonts w:ascii="Calibri" w:eastAsia="Calibri" w:hAnsi="Calibri" w:cs="Calibri"/>
          <w:b/>
          <w:bCs/>
        </w:rPr>
        <w:t>Usage :</w:t>
      </w:r>
      <w:r>
        <w:rPr>
          <w:rFonts w:ascii="Calibri" w:eastAsia="Calibri" w:hAnsi="Calibri" w:cs="Calibri"/>
        </w:rPr>
        <w:t xml:space="preserve"> Ces POS s’appliquent à la première réception de conteneurs multiples de balles de MII lorsque la garde est transférée du fabricant/fournisseur à une partie concernée du pays (par exemple, le personnel logistique du programme national de lutte contre le paludisme) et lorsque la réception aveugle est mise en œuvre.</w:t>
      </w:r>
    </w:p>
    <w:p w14:paraId="0DCF406E" w14:textId="77777777" w:rsidR="006A0CC3" w:rsidRDefault="006A0CC3">
      <w:pPr>
        <w:spacing w:line="240" w:lineRule="auto"/>
        <w:rPr>
          <w:rFonts w:ascii="Calibri" w:eastAsia="Calibri" w:hAnsi="Calibri" w:cs="Calibri"/>
        </w:rPr>
      </w:pPr>
    </w:p>
    <w:p w14:paraId="62E77847" w14:textId="77777777" w:rsidR="006A0CC3" w:rsidRDefault="00743C78">
      <w:pPr>
        <w:spacing w:line="240" w:lineRule="auto"/>
        <w:rPr>
          <w:rFonts w:ascii="Calibri" w:eastAsia="Calibri" w:hAnsi="Calibri" w:cs="Calibri"/>
          <w:b/>
          <w:bCs/>
        </w:rPr>
      </w:pPr>
      <w:r>
        <w:rPr>
          <w:rFonts w:ascii="Calibri" w:eastAsia="Calibri" w:hAnsi="Calibri" w:cs="Calibri"/>
          <w:b/>
          <w:bCs/>
        </w:rPr>
        <w:t>Conditions préalables :</w:t>
      </w:r>
    </w:p>
    <w:p w14:paraId="64FE1E19"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Documents d’expédition fournis à l’avance par le fabricant/fournisseur</w:t>
      </w:r>
    </w:p>
    <w:p w14:paraId="03D58AEA"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Le système de gestion de l’information (SGI) de la chaîne d’approvisionnement des MII est prérempli avec des données corrélées aux documents d’expédition fournis par le fabricant, qui comprend un enregistrement du numéro séquentiel de colis (SSCC) figurant sur l’étiquette logistique de chaque balle de MII</w:t>
      </w:r>
    </w:p>
    <w:p w14:paraId="323EE0B7" w14:textId="77777777" w:rsidR="006A0CC3" w:rsidRDefault="00743C78">
      <w:pPr>
        <w:widowControl w:val="0"/>
        <w:numPr>
          <w:ilvl w:val="0"/>
          <w:numId w:val="12"/>
        </w:numPr>
        <w:spacing w:line="240" w:lineRule="auto"/>
        <w:rPr>
          <w:rFonts w:ascii="Calibri" w:eastAsia="Calibri" w:hAnsi="Calibri" w:cs="Calibri"/>
        </w:rPr>
      </w:pPr>
      <w:r>
        <w:rPr>
          <w:rFonts w:ascii="Calibri" w:eastAsia="Calibri" w:hAnsi="Calibri" w:cs="Calibri"/>
        </w:rPr>
        <w:t>La description de produit du SGI est associée à un code article international (GTIN) fourni par le fabricant</w:t>
      </w:r>
    </w:p>
    <w:p w14:paraId="313F9EAE" w14:textId="77777777" w:rsidR="006A0CC3" w:rsidRDefault="006A0CC3">
      <w:pPr>
        <w:spacing w:line="240" w:lineRule="auto"/>
        <w:rPr>
          <w:rFonts w:ascii="Calibri" w:eastAsia="Calibri" w:hAnsi="Calibri" w:cs="Calibri"/>
        </w:rPr>
      </w:pPr>
    </w:p>
    <w:p w14:paraId="70B736A6" w14:textId="77777777" w:rsidR="006A0CC3" w:rsidRDefault="00743C78">
      <w:pPr>
        <w:spacing w:line="240" w:lineRule="auto"/>
        <w:rPr>
          <w:rFonts w:ascii="Calibri" w:eastAsia="Calibri" w:hAnsi="Calibri" w:cs="Calibri"/>
          <w:b/>
          <w:bCs/>
        </w:rPr>
      </w:pPr>
      <w:r>
        <w:rPr>
          <w:rFonts w:ascii="Calibri" w:eastAsia="Calibri" w:hAnsi="Calibri" w:cs="Calibri"/>
          <w:b/>
          <w:bCs/>
        </w:rPr>
        <w:t>Procédures</w:t>
      </w:r>
    </w:p>
    <w:p w14:paraId="3FB87C69" w14:textId="77777777" w:rsidR="006A0CC3" w:rsidRDefault="006A0CC3">
      <w:pPr>
        <w:spacing w:line="240" w:lineRule="auto"/>
        <w:rPr>
          <w:rFonts w:ascii="Calibri" w:eastAsia="Calibri" w:hAnsi="Calibri" w:cs="Calibri"/>
        </w:rPr>
      </w:pPr>
    </w:p>
    <w:tbl>
      <w:tblPr>
        <w:tblStyle w:val="af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6A0CC3" w14:paraId="6BCEA6C6" w14:textId="77777777">
        <w:trPr>
          <w:trHeight w:val="567"/>
        </w:trPr>
        <w:tc>
          <w:tcPr>
            <w:tcW w:w="1650" w:type="dxa"/>
            <w:tcMar>
              <w:top w:w="100" w:type="dxa"/>
              <w:left w:w="100" w:type="dxa"/>
              <w:bottom w:w="100" w:type="dxa"/>
              <w:right w:w="100" w:type="dxa"/>
            </w:tcMar>
          </w:tcPr>
          <w:p w14:paraId="23899699" w14:textId="77777777" w:rsidR="006A0CC3" w:rsidRDefault="00743C78">
            <w:pPr>
              <w:widowControl w:val="0"/>
              <w:spacing w:line="240" w:lineRule="auto"/>
              <w:rPr>
                <w:rFonts w:ascii="Calibri" w:eastAsia="Calibri" w:hAnsi="Calibri" w:cs="Calibri"/>
                <w:b/>
                <w:bCs/>
              </w:rPr>
            </w:pPr>
            <w:r>
              <w:rPr>
                <w:rFonts w:ascii="Calibri" w:eastAsia="Calibri" w:hAnsi="Calibri" w:cs="Calibri"/>
                <w:b/>
                <w:bCs/>
              </w:rPr>
              <w:t xml:space="preserve">NUMÉRO DE PROCÉDURE </w:t>
            </w:r>
          </w:p>
        </w:tc>
        <w:tc>
          <w:tcPr>
            <w:tcW w:w="3180" w:type="dxa"/>
            <w:tcMar>
              <w:top w:w="100" w:type="dxa"/>
              <w:left w:w="100" w:type="dxa"/>
              <w:bottom w:w="100" w:type="dxa"/>
              <w:right w:w="100" w:type="dxa"/>
            </w:tcMar>
          </w:tcPr>
          <w:p w14:paraId="706325E0" w14:textId="77777777" w:rsidR="006A0CC3" w:rsidRDefault="00743C78">
            <w:pPr>
              <w:widowControl w:val="0"/>
              <w:spacing w:line="240" w:lineRule="auto"/>
              <w:jc w:val="center"/>
              <w:rPr>
                <w:rFonts w:ascii="Calibri" w:eastAsia="Calibri" w:hAnsi="Calibri" w:cs="Calibri"/>
                <w:b/>
                <w:bCs/>
              </w:rPr>
            </w:pPr>
            <w:r>
              <w:rPr>
                <w:rFonts w:ascii="Calibri" w:eastAsia="Calibri" w:hAnsi="Calibri" w:cs="Calibri"/>
                <w:b/>
                <w:bCs/>
              </w:rPr>
              <w:t>ÉTAPES DE LA PROCÉDURE</w:t>
            </w:r>
          </w:p>
        </w:tc>
        <w:tc>
          <w:tcPr>
            <w:tcW w:w="4530" w:type="dxa"/>
            <w:tcMar>
              <w:top w:w="100" w:type="dxa"/>
              <w:left w:w="100" w:type="dxa"/>
              <w:bottom w:w="100" w:type="dxa"/>
              <w:right w:w="100" w:type="dxa"/>
            </w:tcMar>
          </w:tcPr>
          <w:p w14:paraId="26B0E85B" w14:textId="77777777" w:rsidR="006A0CC3" w:rsidRDefault="00743C78">
            <w:pPr>
              <w:widowControl w:val="0"/>
              <w:spacing w:line="240" w:lineRule="auto"/>
              <w:ind w:left="720"/>
              <w:jc w:val="center"/>
              <w:rPr>
                <w:rFonts w:ascii="Calibri" w:eastAsia="Calibri" w:hAnsi="Calibri" w:cs="Calibri"/>
                <w:b/>
                <w:bCs/>
              </w:rPr>
            </w:pPr>
            <w:r>
              <w:rPr>
                <w:rFonts w:ascii="Calibri" w:eastAsia="Calibri" w:hAnsi="Calibri" w:cs="Calibri"/>
                <w:b/>
                <w:bCs/>
              </w:rPr>
              <w:t xml:space="preserve">DESCRIPTION </w:t>
            </w:r>
          </w:p>
        </w:tc>
      </w:tr>
      <w:tr w:rsidR="006A0CC3" w14:paraId="0C8C4602" w14:textId="77777777">
        <w:tc>
          <w:tcPr>
            <w:tcW w:w="1650" w:type="dxa"/>
            <w:tcMar>
              <w:top w:w="100" w:type="dxa"/>
              <w:left w:w="100" w:type="dxa"/>
              <w:bottom w:w="100" w:type="dxa"/>
              <w:right w:w="100" w:type="dxa"/>
            </w:tcMar>
          </w:tcPr>
          <w:p w14:paraId="71E0F136"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1</w:t>
            </w:r>
          </w:p>
        </w:tc>
        <w:tc>
          <w:tcPr>
            <w:tcW w:w="3180" w:type="dxa"/>
            <w:tcMar>
              <w:top w:w="100" w:type="dxa"/>
              <w:left w:w="100" w:type="dxa"/>
              <w:bottom w:w="100" w:type="dxa"/>
              <w:right w:w="100" w:type="dxa"/>
            </w:tcMar>
          </w:tcPr>
          <w:p w14:paraId="5D92AB69"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Connexion</w:t>
            </w:r>
          </w:p>
        </w:tc>
        <w:tc>
          <w:tcPr>
            <w:tcW w:w="4530" w:type="dxa"/>
            <w:tcMar>
              <w:top w:w="100" w:type="dxa"/>
              <w:left w:w="100" w:type="dxa"/>
              <w:bottom w:w="100" w:type="dxa"/>
              <w:right w:w="100" w:type="dxa"/>
            </w:tcMar>
          </w:tcPr>
          <w:p w14:paraId="5EC6D2A7"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L’utilisateur se connecte au système de gestion de l’information (SGI) utilisé pour la gestion des stocks de MII. </w:t>
            </w:r>
          </w:p>
        </w:tc>
      </w:tr>
      <w:tr w:rsidR="006A0CC3" w14:paraId="05B21142" w14:textId="77777777">
        <w:tc>
          <w:tcPr>
            <w:tcW w:w="1650" w:type="dxa"/>
            <w:tcMar>
              <w:top w:w="100" w:type="dxa"/>
              <w:left w:w="100" w:type="dxa"/>
              <w:bottom w:w="100" w:type="dxa"/>
              <w:right w:w="100" w:type="dxa"/>
            </w:tcMar>
          </w:tcPr>
          <w:p w14:paraId="7C667F6F"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0333B4D2"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Authentification</w:t>
            </w:r>
          </w:p>
        </w:tc>
        <w:tc>
          <w:tcPr>
            <w:tcW w:w="4530" w:type="dxa"/>
            <w:tcMar>
              <w:top w:w="100" w:type="dxa"/>
              <w:left w:w="100" w:type="dxa"/>
              <w:bottom w:w="100" w:type="dxa"/>
              <w:right w:w="100" w:type="dxa"/>
            </w:tcMar>
          </w:tcPr>
          <w:p w14:paraId="71AC9A8D"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Informations d’identification de l’utilisateur confirmées/rejetées. </w:t>
            </w:r>
            <w:r>
              <w:rPr>
                <w:rFonts w:ascii="Calibri" w:eastAsia="Calibri" w:hAnsi="Calibri" w:cs="Calibri"/>
              </w:rPr>
              <w:br/>
              <w:t xml:space="preserve">Les droits/privilèges des utilisateurs doivent être préconfigurés. </w:t>
            </w:r>
          </w:p>
        </w:tc>
      </w:tr>
      <w:tr w:rsidR="006A0CC3" w14:paraId="7598825B" w14:textId="77777777">
        <w:tc>
          <w:tcPr>
            <w:tcW w:w="1650" w:type="dxa"/>
            <w:tcMar>
              <w:top w:w="100" w:type="dxa"/>
              <w:left w:w="100" w:type="dxa"/>
              <w:bottom w:w="100" w:type="dxa"/>
              <w:right w:w="100" w:type="dxa"/>
            </w:tcMar>
          </w:tcPr>
          <w:p w14:paraId="1B4CC91A"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6BCB9FCB"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Naviguer vers le module « Receiving » (« Réception »)</w:t>
            </w:r>
          </w:p>
          <w:p w14:paraId="7DBE152B" w14:textId="77777777" w:rsidR="006A0CC3" w:rsidRDefault="006A0CC3">
            <w:pPr>
              <w:widowControl w:val="0"/>
              <w:pBdr>
                <w:top w:val="nil"/>
                <w:left w:val="nil"/>
                <w:bottom w:val="nil"/>
                <w:right w:val="nil"/>
                <w:between w:val="nil"/>
              </w:pBdr>
              <w:spacing w:line="240" w:lineRule="auto"/>
              <w:rPr>
                <w:rFonts w:ascii="Calibri" w:eastAsia="Calibri" w:hAnsi="Calibri" w:cs="Calibri"/>
              </w:rPr>
            </w:pPr>
          </w:p>
          <w:p w14:paraId="003F1E84"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Saisir le numéro du bon de commande</w:t>
            </w:r>
          </w:p>
        </w:tc>
        <w:tc>
          <w:tcPr>
            <w:tcW w:w="4530" w:type="dxa"/>
            <w:tcMar>
              <w:top w:w="100" w:type="dxa"/>
              <w:left w:w="100" w:type="dxa"/>
              <w:bottom w:w="100" w:type="dxa"/>
              <w:right w:w="100" w:type="dxa"/>
            </w:tcMar>
          </w:tcPr>
          <w:p w14:paraId="1082663A"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L’utilisateur accède à l’option « Purchase Order (PO) receiving » (« Réception des bons de commande ») du SGI et saisit un numéro de bon de commande à recevoir. Le SGI vérifie qu’il s’agit d’un bon de commande valide et récupère les informations relatives au bon de commande. Une alerte de bon de commande non valide s’affiche si le numéro de bon de commande saisi ne correspond pas à un bon de commande préconfiguré dans le SGI.</w:t>
            </w:r>
          </w:p>
        </w:tc>
      </w:tr>
      <w:tr w:rsidR="006A0CC3" w14:paraId="1A2CB678" w14:textId="77777777">
        <w:tc>
          <w:tcPr>
            <w:tcW w:w="1650" w:type="dxa"/>
            <w:tcMar>
              <w:top w:w="100" w:type="dxa"/>
              <w:left w:w="100" w:type="dxa"/>
              <w:bottom w:w="100" w:type="dxa"/>
              <w:right w:w="100" w:type="dxa"/>
            </w:tcMar>
          </w:tcPr>
          <w:p w14:paraId="76CDC99C"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4FBC4EF2"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Affichage du contenu du bon de commande</w:t>
            </w:r>
          </w:p>
        </w:tc>
        <w:tc>
          <w:tcPr>
            <w:tcW w:w="4530" w:type="dxa"/>
            <w:tcMar>
              <w:top w:w="100" w:type="dxa"/>
              <w:left w:w="100" w:type="dxa"/>
              <w:bottom w:w="100" w:type="dxa"/>
              <w:right w:w="100" w:type="dxa"/>
            </w:tcMar>
          </w:tcPr>
          <w:p w14:paraId="062D7BB3"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Le SGI récupère les lignes du bon de commande ouvertes disponibles pour être reçues et affiche :</w:t>
            </w:r>
          </w:p>
          <w:p w14:paraId="19EF3714" w14:textId="77777777" w:rsidR="006A0CC3" w:rsidRDefault="00743C78">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Le fournisseur</w:t>
            </w:r>
          </w:p>
          <w:p w14:paraId="0920C4D3" w14:textId="77777777" w:rsidR="006A0CC3" w:rsidRDefault="00743C78">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Le bon de commande</w:t>
            </w:r>
          </w:p>
          <w:p w14:paraId="492B7BDD" w14:textId="77777777" w:rsidR="006A0CC3" w:rsidRDefault="00743C78">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L’article</w:t>
            </w:r>
          </w:p>
          <w:p w14:paraId="243BA361" w14:textId="77777777" w:rsidR="006A0CC3" w:rsidRDefault="00743C78">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La quantité reçue</w:t>
            </w:r>
          </w:p>
          <w:p w14:paraId="1EF78EC4" w14:textId="77777777" w:rsidR="006A0CC3" w:rsidRDefault="00743C78">
            <w:pPr>
              <w:widowControl w:val="0"/>
              <w:numPr>
                <w:ilvl w:val="0"/>
                <w:numId w:val="1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L’unité de mesure</w:t>
            </w:r>
          </w:p>
        </w:tc>
      </w:tr>
      <w:tr w:rsidR="006A0CC3" w14:paraId="448CFDCF" w14:textId="77777777">
        <w:tc>
          <w:tcPr>
            <w:tcW w:w="1650" w:type="dxa"/>
            <w:tcMar>
              <w:top w:w="100" w:type="dxa"/>
              <w:left w:w="100" w:type="dxa"/>
              <w:bottom w:w="100" w:type="dxa"/>
              <w:right w:w="100" w:type="dxa"/>
            </w:tcMar>
          </w:tcPr>
          <w:p w14:paraId="4060D516"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5</w:t>
            </w:r>
          </w:p>
        </w:tc>
        <w:tc>
          <w:tcPr>
            <w:tcW w:w="3180" w:type="dxa"/>
            <w:tcMar>
              <w:top w:w="100" w:type="dxa"/>
              <w:left w:w="100" w:type="dxa"/>
              <w:bottom w:w="100" w:type="dxa"/>
              <w:right w:w="100" w:type="dxa"/>
            </w:tcMar>
          </w:tcPr>
          <w:p w14:paraId="5DDB8F5F"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Disponibilité des supports de données</w:t>
            </w:r>
          </w:p>
        </w:tc>
        <w:tc>
          <w:tcPr>
            <w:tcW w:w="4530" w:type="dxa"/>
            <w:tcMar>
              <w:top w:w="100" w:type="dxa"/>
              <w:left w:w="100" w:type="dxa"/>
              <w:bottom w:w="100" w:type="dxa"/>
              <w:right w:w="100" w:type="dxa"/>
            </w:tcMar>
          </w:tcPr>
          <w:p w14:paraId="4B181C4F" w14:textId="77777777" w:rsidR="006A0CC3" w:rsidRDefault="003F1E34">
            <w:pPr>
              <w:widowControl w:val="0"/>
              <w:pBdr>
                <w:top w:val="nil"/>
                <w:left w:val="nil"/>
                <w:bottom w:val="nil"/>
                <w:right w:val="nil"/>
                <w:between w:val="nil"/>
              </w:pBdr>
              <w:spacing w:line="240" w:lineRule="auto"/>
              <w:rPr>
                <w:rFonts w:ascii="Calibri" w:eastAsia="Calibri" w:hAnsi="Calibri" w:cs="Calibri"/>
              </w:rPr>
            </w:pPr>
            <w:sdt>
              <w:sdtPr>
                <w:tag w:val="goog_rdk_0"/>
                <w:id w:val="-1958647803"/>
              </w:sdtPr>
              <w:sdtEndPr/>
              <w:sdtContent/>
            </w:sdt>
            <w:sdt>
              <w:sdtPr>
                <w:tag w:val="goog_rdk_1"/>
                <w:id w:val="68643712"/>
              </w:sdtPr>
              <w:sdtEndPr/>
              <w:sdtContent/>
            </w:sdt>
            <w:sdt>
              <w:sdtPr>
                <w:tag w:val="goog_rdk_2"/>
                <w:id w:val="1284444381"/>
              </w:sdtPr>
              <w:sdtEndPr/>
              <w:sdtContent/>
            </w:sdt>
            <w:r w:rsidR="00743C78">
              <w:rPr>
                <w:rFonts w:ascii="Calibri" w:eastAsia="Calibri" w:hAnsi="Calibri" w:cs="Calibri"/>
              </w:rPr>
              <w:t>L’utilisateur vérifie si les unités logistiques (les balles) de la cargaison sont dotées d’étiquettes logistiques comprenant un SSCC. Si OUI, passer à la procédure 6.</w:t>
            </w:r>
          </w:p>
          <w:p w14:paraId="7702D2A5" w14:textId="77777777" w:rsidR="006A0CC3" w:rsidRDefault="006A0CC3">
            <w:pPr>
              <w:widowControl w:val="0"/>
              <w:pBdr>
                <w:top w:val="nil"/>
                <w:left w:val="nil"/>
                <w:bottom w:val="nil"/>
                <w:right w:val="nil"/>
                <w:between w:val="nil"/>
              </w:pBdr>
              <w:spacing w:line="240" w:lineRule="auto"/>
              <w:rPr>
                <w:rFonts w:ascii="Calibri" w:eastAsia="Calibri" w:hAnsi="Calibri" w:cs="Calibri"/>
              </w:rPr>
            </w:pPr>
          </w:p>
          <w:p w14:paraId="4257FCE0" w14:textId="77777777" w:rsidR="006A0CC3" w:rsidRDefault="00743C78">
            <w:pPr>
              <w:widowControl w:val="0"/>
              <w:pBdr>
                <w:top w:val="nil"/>
                <w:left w:val="nil"/>
                <w:bottom w:val="nil"/>
                <w:right w:val="nil"/>
                <w:between w:val="nil"/>
              </w:pBdr>
              <w:spacing w:line="240" w:lineRule="auto"/>
              <w:rPr>
                <w:rFonts w:ascii="Calibri" w:eastAsia="Calibri" w:hAnsi="Calibri" w:cs="Calibri"/>
                <w:b/>
                <w:bCs/>
                <w:strike/>
              </w:rPr>
            </w:pPr>
            <w:r>
              <w:rPr>
                <w:rFonts w:ascii="Calibri" w:eastAsia="Calibri" w:hAnsi="Calibri" w:cs="Calibri"/>
              </w:rPr>
              <w:t>Si NON, voir :</w:t>
            </w:r>
            <w:r>
              <w:rPr>
                <w:rFonts w:ascii="Calibri" w:eastAsia="Calibri" w:hAnsi="Calibri" w:cs="Calibri"/>
                <w:b/>
                <w:bCs/>
              </w:rPr>
              <w:t xml:space="preserve"> PROCÉDURES DE RAPPROCHEMENT DES ÉCARTS DE DÉSAGRÉGATION DES BALLES DE MII </w:t>
            </w:r>
            <w:r>
              <w:rPr>
                <w:rFonts w:ascii="Calibri" w:eastAsia="Calibri" w:hAnsi="Calibri" w:cs="Calibri"/>
              </w:rPr>
              <w:t>(annexe)</w:t>
            </w:r>
          </w:p>
        </w:tc>
      </w:tr>
      <w:tr w:rsidR="006A0CC3" w14:paraId="7C753A69" w14:textId="77777777">
        <w:tc>
          <w:tcPr>
            <w:tcW w:w="1650" w:type="dxa"/>
            <w:tcMar>
              <w:top w:w="100" w:type="dxa"/>
              <w:left w:w="100" w:type="dxa"/>
              <w:bottom w:w="100" w:type="dxa"/>
              <w:right w:w="100" w:type="dxa"/>
            </w:tcMar>
          </w:tcPr>
          <w:p w14:paraId="6FF1BF45"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2843A870"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Scanner le numéro séquentiel de colis (SSCC)</w:t>
            </w:r>
          </w:p>
        </w:tc>
        <w:tc>
          <w:tcPr>
            <w:tcW w:w="4530" w:type="dxa"/>
            <w:tcMar>
              <w:top w:w="100" w:type="dxa"/>
              <w:left w:w="100" w:type="dxa"/>
              <w:bottom w:w="100" w:type="dxa"/>
              <w:right w:w="100" w:type="dxa"/>
            </w:tcMar>
          </w:tcPr>
          <w:p w14:paraId="46A19998"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L’utilisateur scanne le SSCC d’une balle et le SGI vérifie les données saisies par rapport à l’enregistrement prérempli du SGI concernant les SSCC fournis par le réceptionnaire.</w:t>
            </w:r>
          </w:p>
          <w:p w14:paraId="408E2BF1" w14:textId="77777777" w:rsidR="006A0CC3" w:rsidRDefault="003F1E34">
            <w:pPr>
              <w:widowControl w:val="0"/>
              <w:numPr>
                <w:ilvl w:val="0"/>
                <w:numId w:val="20"/>
              </w:numPr>
              <w:pBdr>
                <w:top w:val="nil"/>
                <w:left w:val="nil"/>
                <w:bottom w:val="nil"/>
                <w:right w:val="nil"/>
                <w:between w:val="nil"/>
              </w:pBdr>
              <w:spacing w:line="240" w:lineRule="auto"/>
              <w:rPr>
                <w:rFonts w:ascii="Calibri" w:eastAsia="Calibri" w:hAnsi="Calibri" w:cs="Calibri"/>
              </w:rPr>
            </w:pPr>
            <w:sdt>
              <w:sdtPr>
                <w:tag w:val="goog_rdk_3"/>
                <w:id w:val="-619108927"/>
              </w:sdtPr>
              <w:sdtEndPr/>
              <w:sdtContent/>
            </w:sdt>
            <w:sdt>
              <w:sdtPr>
                <w:tag w:val="goog_rdk_4"/>
                <w:id w:val="-1883244366"/>
              </w:sdtPr>
              <w:sdtEndPr/>
              <w:sdtContent/>
            </w:sdt>
            <w:sdt>
              <w:sdtPr>
                <w:tag w:val="goog_rdk_5"/>
                <w:id w:val="1617682359"/>
              </w:sdtPr>
              <w:sdtEndPr/>
              <w:sdtContent/>
            </w:sdt>
            <w:r w:rsidR="00743C78">
              <w:rPr>
                <w:rFonts w:ascii="Calibri" w:eastAsia="Calibri" w:hAnsi="Calibri" w:cs="Calibri"/>
              </w:rPr>
              <w:t>Si le SSCC sur la balle concorde avec le SSCC dans le SGI, l’utilisateur passe à la procédure 7</w:t>
            </w:r>
          </w:p>
          <w:p w14:paraId="2938A095" w14:textId="77777777" w:rsidR="006A0CC3" w:rsidRDefault="00743C78">
            <w:pPr>
              <w:widowControl w:val="0"/>
              <w:numPr>
                <w:ilvl w:val="0"/>
                <w:numId w:val="20"/>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S’il n’y a pas de concordance, voir : </w:t>
            </w:r>
            <w:r>
              <w:rPr>
                <w:rFonts w:ascii="Calibri" w:eastAsia="Calibri" w:hAnsi="Calibri" w:cs="Calibri"/>
                <w:b/>
                <w:bCs/>
              </w:rPr>
              <w:t>PROCÉDURES DE RAPPROCHEMENT DES ÉCARTS DE DÉSAGRÉGATION DES BALLES DE MII</w:t>
            </w:r>
          </w:p>
        </w:tc>
      </w:tr>
      <w:tr w:rsidR="006A0CC3" w14:paraId="53D744E3" w14:textId="77777777">
        <w:trPr>
          <w:trHeight w:val="567"/>
        </w:trPr>
        <w:tc>
          <w:tcPr>
            <w:tcW w:w="1650" w:type="dxa"/>
            <w:tcMar>
              <w:top w:w="100" w:type="dxa"/>
              <w:left w:w="100" w:type="dxa"/>
              <w:bottom w:w="100" w:type="dxa"/>
              <w:right w:w="100" w:type="dxa"/>
            </w:tcMar>
          </w:tcPr>
          <w:p w14:paraId="384EB685"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7</w:t>
            </w:r>
          </w:p>
        </w:tc>
        <w:tc>
          <w:tcPr>
            <w:tcW w:w="3180" w:type="dxa"/>
            <w:tcMar>
              <w:top w:w="100" w:type="dxa"/>
              <w:left w:w="100" w:type="dxa"/>
              <w:bottom w:w="100" w:type="dxa"/>
              <w:right w:w="100" w:type="dxa"/>
            </w:tcMar>
          </w:tcPr>
          <w:p w14:paraId="3EBCE734" w14:textId="77777777" w:rsidR="006A0CC3" w:rsidRDefault="00743C78">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Enregistrement du lot</w:t>
            </w:r>
          </w:p>
          <w:p w14:paraId="6FFE9C64" w14:textId="77777777" w:rsidR="006A0CC3" w:rsidRDefault="00743C78">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Enregistrement de la date de production</w:t>
            </w:r>
          </w:p>
          <w:p w14:paraId="15C294C1" w14:textId="77777777" w:rsidR="006A0CC3" w:rsidRDefault="00743C78">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Enregistrement de la quantité</w:t>
            </w:r>
          </w:p>
          <w:p w14:paraId="64D15D4B" w14:textId="77777777" w:rsidR="006A0CC3" w:rsidRDefault="00743C78">
            <w:pPr>
              <w:widowControl w:val="0"/>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Continuer jusqu’à l’invite « Receive » (« Recevoir»)</w:t>
            </w:r>
          </w:p>
        </w:tc>
        <w:tc>
          <w:tcPr>
            <w:tcW w:w="4530" w:type="dxa"/>
            <w:tcMar>
              <w:top w:w="100" w:type="dxa"/>
              <w:left w:w="100" w:type="dxa"/>
              <w:bottom w:w="100" w:type="dxa"/>
              <w:right w:w="100" w:type="dxa"/>
            </w:tcMar>
          </w:tcPr>
          <w:p w14:paraId="4EF4F464"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L’utilisateur est invité à scanner le support de données contenant le GTIN.</w:t>
            </w:r>
          </w:p>
          <w:p w14:paraId="26507A9E" w14:textId="77777777" w:rsidR="006A0CC3" w:rsidRDefault="00743C78">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Si l’enregistrement prérempli du SGI relie chaque SSCC aux détails de son contenu, le SGI vérifie la concordance entre son enregistrement et l’enregistrement du contenu du support de données</w:t>
            </w:r>
          </w:p>
          <w:p w14:paraId="787CD484" w14:textId="77777777" w:rsidR="006A0CC3" w:rsidRDefault="00743C78">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Si l’enregistrement prérempli du SGI ne relie pas le SSCC à l’enregistrement du contenu de l’unité logistique, le scannage remplira l’enregistrement du SGI en conséquence sur la base du contenu du support de données et des champs correspondants configurés dans le SGI pour recevoir ces données</w:t>
            </w:r>
          </w:p>
          <w:p w14:paraId="67F1B2FA" w14:textId="77777777" w:rsidR="006A0CC3" w:rsidRDefault="00743C78">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L’utilisateur est invité à poursuivre le scannage ou à sélectionner « Close receipt</w:t>
            </w:r>
            <w:r>
              <w:rPr>
                <w:rFonts w:ascii="Calibri" w:eastAsia="Calibri" w:hAnsi="Calibri" w:cs="Calibri"/>
                <w:i/>
                <w:iCs/>
              </w:rPr>
              <w:t> </w:t>
            </w:r>
            <w:r>
              <w:rPr>
                <w:rFonts w:ascii="Calibri" w:eastAsia="Calibri" w:hAnsi="Calibri" w:cs="Calibri"/>
              </w:rPr>
              <w:t>» (« Clore la réception »)</w:t>
            </w:r>
          </w:p>
          <w:p w14:paraId="3E6C17BB" w14:textId="77777777" w:rsidR="006A0CC3" w:rsidRDefault="00743C78">
            <w:pPr>
              <w:widowControl w:val="0"/>
              <w:numPr>
                <w:ilvl w:val="0"/>
                <w:numId w:val="1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S’il y a d’autres balles à recevoir, revenir à la procédure 6. S’il n’y a plus de balles à recevoir, passer à la procédure 8</w:t>
            </w:r>
          </w:p>
        </w:tc>
      </w:tr>
      <w:tr w:rsidR="006A0CC3" w14:paraId="57515A49" w14:textId="77777777">
        <w:tc>
          <w:tcPr>
            <w:tcW w:w="1650" w:type="dxa"/>
            <w:tcMar>
              <w:top w:w="100" w:type="dxa"/>
              <w:left w:w="100" w:type="dxa"/>
              <w:bottom w:w="100" w:type="dxa"/>
              <w:right w:w="100" w:type="dxa"/>
            </w:tcMar>
          </w:tcPr>
          <w:p w14:paraId="047A9E26" w14:textId="77777777" w:rsidR="006A0CC3" w:rsidRDefault="00743C78">
            <w:pPr>
              <w:widowControl w:val="0"/>
              <w:spacing w:line="240" w:lineRule="auto"/>
              <w:rPr>
                <w:rFonts w:ascii="Calibri" w:eastAsia="Calibri" w:hAnsi="Calibri" w:cs="Calibri"/>
              </w:rPr>
            </w:pPr>
            <w:r>
              <w:rPr>
                <w:rFonts w:ascii="Calibri" w:eastAsia="Calibri" w:hAnsi="Calibri" w:cs="Calibri"/>
              </w:rPr>
              <w:t>8</w:t>
            </w:r>
          </w:p>
        </w:tc>
        <w:tc>
          <w:tcPr>
            <w:tcW w:w="3180" w:type="dxa"/>
            <w:tcMar>
              <w:top w:w="100" w:type="dxa"/>
              <w:left w:w="100" w:type="dxa"/>
              <w:bottom w:w="100" w:type="dxa"/>
              <w:right w:w="100" w:type="dxa"/>
            </w:tcMar>
          </w:tcPr>
          <w:p w14:paraId="6F11B792"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Rapprochement du décompte des conteneurs </w:t>
            </w:r>
          </w:p>
        </w:tc>
        <w:tc>
          <w:tcPr>
            <w:tcW w:w="4530" w:type="dxa"/>
            <w:tcMar>
              <w:top w:w="100" w:type="dxa"/>
              <w:left w:w="100" w:type="dxa"/>
              <w:bottom w:w="100" w:type="dxa"/>
              <w:right w:w="100" w:type="dxa"/>
            </w:tcMar>
          </w:tcPr>
          <w:p w14:paraId="15BC5CD8"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L’utilisateur demande le statut de la quantité reçue</w:t>
            </w:r>
          </w:p>
          <w:p w14:paraId="7642873C" w14:textId="77777777" w:rsidR="006A0CC3" w:rsidRDefault="00743C78">
            <w:pPr>
              <w:widowControl w:val="0"/>
              <w:numPr>
                <w:ilvl w:val="0"/>
                <w:numId w:val="1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Cette quantité concorde-t-elle avec l’enregistrement écrit ou électronique de la quantité de balles par conteneur/véhicule ?</w:t>
            </w:r>
          </w:p>
          <w:p w14:paraId="714AEE8C" w14:textId="77777777" w:rsidR="006A0CC3" w:rsidRDefault="00743C78">
            <w:pPr>
              <w:widowControl w:val="0"/>
              <w:numPr>
                <w:ilvl w:val="0"/>
                <w:numId w:val="1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lastRenderedPageBreak/>
              <w:t>Si OUI, passer à la procédure 9</w:t>
            </w:r>
          </w:p>
          <w:p w14:paraId="62AE6479" w14:textId="77777777" w:rsidR="006A0CC3" w:rsidRDefault="00743C78">
            <w:pPr>
              <w:widowControl w:val="0"/>
              <w:numPr>
                <w:ilvl w:val="0"/>
                <w:numId w:val="14"/>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Si NON, voir : </w:t>
            </w:r>
            <w:r>
              <w:rPr>
                <w:rFonts w:ascii="Calibri" w:eastAsia="Calibri" w:hAnsi="Calibri" w:cs="Calibri"/>
                <w:b/>
                <w:bCs/>
              </w:rPr>
              <w:t>PROCÉDURES DE RAPPROCHEMENT DES ÉCARTS DE DÉSAGRÉGATION DES BALLES DE MII</w:t>
            </w:r>
          </w:p>
        </w:tc>
      </w:tr>
      <w:tr w:rsidR="006A0CC3" w14:paraId="39CE3E60" w14:textId="77777777">
        <w:tc>
          <w:tcPr>
            <w:tcW w:w="1650" w:type="dxa"/>
            <w:tcMar>
              <w:top w:w="100" w:type="dxa"/>
              <w:left w:w="100" w:type="dxa"/>
              <w:bottom w:w="100" w:type="dxa"/>
              <w:right w:w="100" w:type="dxa"/>
            </w:tcMar>
          </w:tcPr>
          <w:p w14:paraId="670184AC" w14:textId="77777777" w:rsidR="006A0CC3" w:rsidRDefault="00743C78">
            <w:pPr>
              <w:widowControl w:val="0"/>
              <w:spacing w:line="240" w:lineRule="auto"/>
              <w:rPr>
                <w:rFonts w:ascii="Calibri" w:eastAsia="Calibri" w:hAnsi="Calibri" w:cs="Calibri"/>
              </w:rPr>
            </w:pPr>
            <w:r>
              <w:rPr>
                <w:rFonts w:ascii="Calibri" w:eastAsia="Calibri" w:hAnsi="Calibri" w:cs="Calibri"/>
              </w:rPr>
              <w:lastRenderedPageBreak/>
              <w:t>9</w:t>
            </w:r>
          </w:p>
        </w:tc>
        <w:tc>
          <w:tcPr>
            <w:tcW w:w="3180" w:type="dxa"/>
            <w:tcMar>
              <w:top w:w="100" w:type="dxa"/>
              <w:left w:w="100" w:type="dxa"/>
              <w:bottom w:w="100" w:type="dxa"/>
              <w:right w:w="100" w:type="dxa"/>
            </w:tcMar>
          </w:tcPr>
          <w:p w14:paraId="404BB8BD" w14:textId="77777777" w:rsidR="006A0CC3" w:rsidRDefault="00743C78">
            <w:pPr>
              <w:widowControl w:val="0"/>
              <w:spacing w:line="240" w:lineRule="auto"/>
              <w:rPr>
                <w:rFonts w:ascii="Calibri" w:eastAsia="Calibri" w:hAnsi="Calibri" w:cs="Calibri"/>
              </w:rPr>
            </w:pPr>
            <w:r>
              <w:rPr>
                <w:rFonts w:ascii="Calibri" w:eastAsia="Calibri" w:hAnsi="Calibri" w:cs="Calibri"/>
              </w:rPr>
              <w:t>« Close receipt » (« Clore la réception »)</w:t>
            </w:r>
          </w:p>
        </w:tc>
        <w:tc>
          <w:tcPr>
            <w:tcW w:w="4530" w:type="dxa"/>
            <w:tcMar>
              <w:top w:w="100" w:type="dxa"/>
              <w:left w:w="100" w:type="dxa"/>
              <w:bottom w:w="100" w:type="dxa"/>
              <w:right w:w="100" w:type="dxa"/>
            </w:tcMar>
          </w:tcPr>
          <w:p w14:paraId="33FB06F9" w14:textId="77777777" w:rsidR="006A0CC3" w:rsidRDefault="00743C78">
            <w:pPr>
              <w:widowControl w:val="0"/>
              <w:pBdr>
                <w:top w:val="nil"/>
                <w:left w:val="nil"/>
                <w:bottom w:val="nil"/>
                <w:right w:val="nil"/>
                <w:between w:val="nil"/>
              </w:pBdr>
              <w:spacing w:line="240" w:lineRule="auto"/>
              <w:rPr>
                <w:rFonts w:ascii="Calibri" w:eastAsia="Calibri" w:hAnsi="Calibri" w:cs="Calibri"/>
              </w:rPr>
            </w:pPr>
            <w:r>
              <w:rPr>
                <w:rFonts w:ascii="Calibri" w:eastAsia="Calibri" w:hAnsi="Calibri" w:cs="Calibri"/>
              </w:rPr>
              <w:t>Lorsque les données de la dernière balle du dernier conteneur ont été saisies sur ses supports de données, l’utilisateur accède au module « Close receipt » (« </w:t>
            </w:r>
            <w:sdt>
              <w:sdtPr>
                <w:tag w:val="goog_rdk_7"/>
                <w:id w:val="-422898004"/>
              </w:sdtPr>
              <w:sdtEndPr/>
              <w:sdtContent/>
            </w:sdt>
            <w:r>
              <w:rPr>
                <w:rFonts w:ascii="Calibri" w:eastAsia="Calibri" w:hAnsi="Calibri" w:cs="Calibri"/>
              </w:rPr>
              <w:t>Clore la réception ») du SGI.</w:t>
            </w:r>
          </w:p>
          <w:p w14:paraId="40474FE8" w14:textId="77777777" w:rsidR="006A0CC3" w:rsidRDefault="00743C78">
            <w:pPr>
              <w:widowControl w:val="0"/>
              <w:numPr>
                <w:ilvl w:val="0"/>
                <w:numId w:val="1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Le SGI compare la quantité reçue à l’enregistrement prérempli de la quantité de balles dans le bon de commande.</w:t>
            </w:r>
          </w:p>
          <w:p w14:paraId="0AD13BC5" w14:textId="77777777" w:rsidR="006A0CC3" w:rsidRDefault="00743C78">
            <w:pPr>
              <w:widowControl w:val="0"/>
              <w:numPr>
                <w:ilvl w:val="0"/>
                <w:numId w:val="1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Si OUI (quantité concordante), le bon de commande est enregistré comme « Received/closed » (« Reçu/clos ») et le stock est mis à jour en fonction de la quantité reçue.</w:t>
            </w:r>
          </w:p>
          <w:p w14:paraId="17EEA8CB" w14:textId="77777777" w:rsidR="006A0CC3" w:rsidRDefault="00743C78">
            <w:pPr>
              <w:widowControl w:val="0"/>
              <w:numPr>
                <w:ilvl w:val="0"/>
                <w:numId w:val="15"/>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Si NON (quantité non concordante), voir : </w:t>
            </w:r>
            <w:r>
              <w:rPr>
                <w:rFonts w:ascii="Calibri" w:eastAsia="Calibri" w:hAnsi="Calibri" w:cs="Calibri"/>
                <w:b/>
                <w:bCs/>
              </w:rPr>
              <w:t>PROCÉDURES DE RAPPROCHEMENT DES ÉCARTS DE DÉSAGRÉGATION DES BALLES DE MII</w:t>
            </w:r>
          </w:p>
        </w:tc>
      </w:tr>
    </w:tbl>
    <w:p w14:paraId="383BBF6B" w14:textId="77777777" w:rsidR="006A0CC3" w:rsidRDefault="006A0CC3">
      <w:pPr>
        <w:spacing w:line="240" w:lineRule="auto"/>
      </w:pPr>
    </w:p>
    <w:p w14:paraId="672B3DD7" w14:textId="77777777" w:rsidR="006A0CC3" w:rsidRDefault="00743C78">
      <w:pPr>
        <w:spacing w:line="240" w:lineRule="auto"/>
      </w:pPr>
      <w:r>
        <w:t>—------------------------------------------------------------------------------------------------------------------------</w:t>
      </w:r>
    </w:p>
    <w:p w14:paraId="00F0565F" w14:textId="77777777" w:rsidR="006A0CC3" w:rsidRDefault="00743C78">
      <w:pPr>
        <w:spacing w:line="240" w:lineRule="auto"/>
        <w:rPr>
          <w:rFonts w:ascii="Calibri" w:eastAsia="Calibri" w:hAnsi="Calibri" w:cs="Calibri"/>
          <w:b/>
          <w:bCs/>
        </w:rPr>
      </w:pPr>
      <w:r>
        <w:rPr>
          <w:rFonts w:ascii="Calibri" w:eastAsia="Calibri" w:hAnsi="Calibri" w:cs="Calibri"/>
          <w:b/>
          <w:bCs/>
        </w:rPr>
        <w:t>2.</w:t>
      </w:r>
      <w:r>
        <w:rPr>
          <w:rFonts w:ascii="Calibri" w:eastAsia="Calibri" w:hAnsi="Calibri" w:cs="Calibri"/>
          <w:b/>
          <w:bCs/>
        </w:rPr>
        <w:tab/>
        <w:t>RÉCEPTION D’UNE EXPÉDITION INTERNE</w:t>
      </w:r>
    </w:p>
    <w:p w14:paraId="1F2E3841" w14:textId="77777777" w:rsidR="006A0CC3" w:rsidRDefault="006A0CC3">
      <w:pPr>
        <w:spacing w:line="240" w:lineRule="auto"/>
        <w:rPr>
          <w:rFonts w:ascii="Calibri" w:eastAsia="Calibri" w:hAnsi="Calibri" w:cs="Calibri"/>
          <w:b/>
          <w:bCs/>
        </w:rPr>
      </w:pPr>
    </w:p>
    <w:p w14:paraId="4B30E2DD" w14:textId="77777777" w:rsidR="006A0CC3" w:rsidRDefault="00743C78">
      <w:pPr>
        <w:spacing w:line="240" w:lineRule="auto"/>
        <w:rPr>
          <w:rFonts w:ascii="Calibri" w:eastAsia="Calibri" w:hAnsi="Calibri" w:cs="Calibri"/>
        </w:rPr>
      </w:pPr>
      <w:r>
        <w:rPr>
          <w:rFonts w:ascii="Calibri" w:eastAsia="Calibri" w:hAnsi="Calibri" w:cs="Calibri"/>
          <w:b/>
          <w:bCs/>
        </w:rPr>
        <w:t>Usage :</w:t>
      </w:r>
      <w:r>
        <w:rPr>
          <w:rFonts w:ascii="Calibri" w:eastAsia="Calibri" w:hAnsi="Calibri" w:cs="Calibri"/>
        </w:rPr>
        <w:t xml:space="preserve"> Ces POS s’appliquent à la réception demandée de plusieurs conteneurs/camions de balles de MII ou à la réception d’un seul conteneur/véhicule de MII lorsque les MII sont transférées d’un site à l’autre ou d’une partie concernée à l’autre, par exemple lors d’un transfert entre un magasin médical central et un magasin médical provincial ou du magasin médical central à un partenaire de mise en œuvre.</w:t>
      </w:r>
    </w:p>
    <w:p w14:paraId="2D7C280B" w14:textId="77777777" w:rsidR="006A0CC3" w:rsidRDefault="006A0CC3">
      <w:pPr>
        <w:spacing w:line="240" w:lineRule="auto"/>
        <w:rPr>
          <w:rFonts w:ascii="Calibri" w:eastAsia="Calibri" w:hAnsi="Calibri" w:cs="Calibri"/>
        </w:rPr>
      </w:pPr>
    </w:p>
    <w:p w14:paraId="0F18F16F" w14:textId="77777777" w:rsidR="006A0CC3" w:rsidRDefault="00743C78">
      <w:pPr>
        <w:spacing w:line="240" w:lineRule="auto"/>
        <w:rPr>
          <w:rFonts w:ascii="Calibri" w:eastAsia="Calibri" w:hAnsi="Calibri" w:cs="Calibri"/>
        </w:rPr>
      </w:pPr>
      <w:r>
        <w:rPr>
          <w:rFonts w:ascii="Calibri" w:eastAsia="Calibri" w:hAnsi="Calibri" w:cs="Calibri"/>
        </w:rPr>
        <w:t>Remarque : Bien que la bonne pratique consiste à disposer d’un enregistrement électronique des détails de la cargaison prérempli dans le SGI utilisé au point de réception, ces POS sont basés sur un scénario où il n’y a qu’un enregistrement sur papier à comparer avec la réception.</w:t>
      </w:r>
    </w:p>
    <w:p w14:paraId="4AF2F515" w14:textId="77777777" w:rsidR="006A0CC3" w:rsidRDefault="006A0CC3">
      <w:pPr>
        <w:spacing w:line="240" w:lineRule="auto"/>
        <w:rPr>
          <w:rFonts w:ascii="Calibri" w:eastAsia="Calibri" w:hAnsi="Calibri" w:cs="Calibri"/>
        </w:rPr>
      </w:pPr>
    </w:p>
    <w:p w14:paraId="65B10496" w14:textId="77777777" w:rsidR="006A0CC3" w:rsidRDefault="00743C78">
      <w:pPr>
        <w:spacing w:line="240" w:lineRule="auto"/>
        <w:rPr>
          <w:rFonts w:ascii="Calibri" w:eastAsia="Calibri" w:hAnsi="Calibri" w:cs="Calibri"/>
        </w:rPr>
      </w:pPr>
      <w:r>
        <w:rPr>
          <w:rFonts w:ascii="Calibri" w:eastAsia="Calibri" w:hAnsi="Calibri" w:cs="Calibri"/>
          <w:b/>
          <w:bCs/>
        </w:rPr>
        <w:t>Conditions préalables :</w:t>
      </w:r>
    </w:p>
    <w:p w14:paraId="5309E627"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Documents d’expédition qui détaillent la quantité de balles de MII et fournissent un enregistrement des SSCC contenus dans la cargaison. Il peut s’agir d’une liste de colisage ou d’un connaissement</w:t>
      </w:r>
    </w:p>
    <w:p w14:paraId="3DCF4314"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Système de gestion de l’information (SGI) de la chaîne d’approvisionnement des MII mis en place pour l’AIDC</w:t>
      </w:r>
    </w:p>
    <w:p w14:paraId="534D3918"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La description de produit du système de gestion de l’information est associée au code article international (GTIN) fourni par le fabricant</w:t>
      </w:r>
    </w:p>
    <w:p w14:paraId="54943DF6" w14:textId="77777777" w:rsidR="006A0CC3" w:rsidRDefault="006A0CC3">
      <w:pPr>
        <w:spacing w:line="240" w:lineRule="auto"/>
        <w:rPr>
          <w:rFonts w:ascii="Calibri" w:eastAsia="Calibri" w:hAnsi="Calibri" w:cs="Calibri"/>
        </w:rPr>
      </w:pPr>
    </w:p>
    <w:p w14:paraId="5619E3F4" w14:textId="77777777" w:rsidR="006A0CC3" w:rsidRDefault="00743C78">
      <w:pPr>
        <w:spacing w:line="240" w:lineRule="auto"/>
        <w:rPr>
          <w:rFonts w:ascii="Calibri" w:eastAsia="Calibri" w:hAnsi="Calibri" w:cs="Calibri"/>
          <w:b/>
          <w:bCs/>
        </w:rPr>
      </w:pPr>
      <w:r>
        <w:rPr>
          <w:rFonts w:ascii="Calibri" w:eastAsia="Calibri" w:hAnsi="Calibri" w:cs="Calibri"/>
          <w:b/>
          <w:bCs/>
        </w:rPr>
        <w:t>Procédures</w:t>
      </w:r>
    </w:p>
    <w:p w14:paraId="3A4ADC76" w14:textId="77777777" w:rsidR="006A0CC3" w:rsidRDefault="006A0CC3">
      <w:pPr>
        <w:spacing w:line="240" w:lineRule="auto"/>
        <w:rPr>
          <w:rFonts w:ascii="Calibri" w:eastAsia="Calibri" w:hAnsi="Calibri" w:cs="Calibri"/>
        </w:rPr>
      </w:pPr>
    </w:p>
    <w:tbl>
      <w:tblPr>
        <w:tblStyle w:val="af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6A0CC3" w14:paraId="10F68365" w14:textId="77777777">
        <w:trPr>
          <w:trHeight w:val="624"/>
        </w:trPr>
        <w:tc>
          <w:tcPr>
            <w:tcW w:w="1650" w:type="dxa"/>
            <w:tcMar>
              <w:top w:w="100" w:type="dxa"/>
              <w:left w:w="100" w:type="dxa"/>
              <w:bottom w:w="100" w:type="dxa"/>
              <w:right w:w="100" w:type="dxa"/>
            </w:tcMar>
          </w:tcPr>
          <w:p w14:paraId="64F86605" w14:textId="77777777" w:rsidR="006A0CC3" w:rsidRDefault="00743C78">
            <w:pPr>
              <w:widowControl w:val="0"/>
              <w:spacing w:line="240" w:lineRule="auto"/>
              <w:rPr>
                <w:rFonts w:ascii="Calibri" w:eastAsia="Calibri" w:hAnsi="Calibri" w:cs="Calibri"/>
                <w:b/>
                <w:bCs/>
              </w:rPr>
            </w:pPr>
            <w:r>
              <w:rPr>
                <w:rFonts w:ascii="Calibri" w:eastAsia="Calibri" w:hAnsi="Calibri" w:cs="Calibri"/>
                <w:b/>
                <w:bCs/>
              </w:rPr>
              <w:t xml:space="preserve">NUMÉRO DE PROCÉDURE </w:t>
            </w:r>
          </w:p>
        </w:tc>
        <w:tc>
          <w:tcPr>
            <w:tcW w:w="3180" w:type="dxa"/>
            <w:tcMar>
              <w:top w:w="100" w:type="dxa"/>
              <w:left w:w="100" w:type="dxa"/>
              <w:bottom w:w="100" w:type="dxa"/>
              <w:right w:w="100" w:type="dxa"/>
            </w:tcMar>
          </w:tcPr>
          <w:p w14:paraId="286EAEC6" w14:textId="77777777" w:rsidR="006A0CC3" w:rsidRDefault="00743C78">
            <w:pPr>
              <w:widowControl w:val="0"/>
              <w:spacing w:line="240" w:lineRule="auto"/>
              <w:jc w:val="center"/>
              <w:rPr>
                <w:rFonts w:ascii="Calibri" w:eastAsia="Calibri" w:hAnsi="Calibri" w:cs="Calibri"/>
                <w:b/>
                <w:bCs/>
              </w:rPr>
            </w:pPr>
            <w:r>
              <w:rPr>
                <w:rFonts w:ascii="Calibri" w:eastAsia="Calibri" w:hAnsi="Calibri" w:cs="Calibri"/>
                <w:b/>
                <w:bCs/>
              </w:rPr>
              <w:t>ÉTAPES DE LA PROCÉDURE</w:t>
            </w:r>
          </w:p>
        </w:tc>
        <w:tc>
          <w:tcPr>
            <w:tcW w:w="4530" w:type="dxa"/>
            <w:tcMar>
              <w:top w:w="100" w:type="dxa"/>
              <w:left w:w="100" w:type="dxa"/>
              <w:bottom w:w="100" w:type="dxa"/>
              <w:right w:w="100" w:type="dxa"/>
            </w:tcMar>
          </w:tcPr>
          <w:p w14:paraId="3933BD6B" w14:textId="77777777" w:rsidR="006A0CC3" w:rsidRDefault="00743C78">
            <w:pPr>
              <w:widowControl w:val="0"/>
              <w:spacing w:line="240" w:lineRule="auto"/>
              <w:ind w:left="720"/>
              <w:jc w:val="center"/>
              <w:rPr>
                <w:rFonts w:ascii="Calibri" w:eastAsia="Calibri" w:hAnsi="Calibri" w:cs="Calibri"/>
                <w:b/>
                <w:bCs/>
              </w:rPr>
            </w:pPr>
            <w:r>
              <w:rPr>
                <w:rFonts w:ascii="Calibri" w:eastAsia="Calibri" w:hAnsi="Calibri" w:cs="Calibri"/>
                <w:b/>
                <w:bCs/>
              </w:rPr>
              <w:t xml:space="preserve">DESCRIPTION </w:t>
            </w:r>
          </w:p>
        </w:tc>
      </w:tr>
      <w:tr w:rsidR="006A0CC3" w14:paraId="2DD53654" w14:textId="77777777">
        <w:tc>
          <w:tcPr>
            <w:tcW w:w="1650" w:type="dxa"/>
            <w:tcMar>
              <w:top w:w="100" w:type="dxa"/>
              <w:left w:w="100" w:type="dxa"/>
              <w:bottom w:w="100" w:type="dxa"/>
              <w:right w:w="100" w:type="dxa"/>
            </w:tcMar>
          </w:tcPr>
          <w:p w14:paraId="5C1B8525" w14:textId="77777777" w:rsidR="006A0CC3" w:rsidRDefault="00743C78">
            <w:pPr>
              <w:widowControl w:val="0"/>
              <w:spacing w:line="240" w:lineRule="auto"/>
              <w:rPr>
                <w:rFonts w:ascii="Calibri" w:eastAsia="Calibri" w:hAnsi="Calibri" w:cs="Calibri"/>
              </w:rPr>
            </w:pPr>
            <w:r>
              <w:rPr>
                <w:rFonts w:ascii="Calibri" w:eastAsia="Calibri" w:hAnsi="Calibri" w:cs="Calibri"/>
              </w:rPr>
              <w:lastRenderedPageBreak/>
              <w:t>1</w:t>
            </w:r>
          </w:p>
        </w:tc>
        <w:tc>
          <w:tcPr>
            <w:tcW w:w="3180" w:type="dxa"/>
            <w:tcMar>
              <w:top w:w="100" w:type="dxa"/>
              <w:left w:w="100" w:type="dxa"/>
              <w:bottom w:w="100" w:type="dxa"/>
              <w:right w:w="100" w:type="dxa"/>
            </w:tcMar>
          </w:tcPr>
          <w:p w14:paraId="26CFB2E9" w14:textId="77777777" w:rsidR="006A0CC3" w:rsidRDefault="00743C78">
            <w:pPr>
              <w:widowControl w:val="0"/>
              <w:spacing w:line="240" w:lineRule="auto"/>
              <w:rPr>
                <w:rFonts w:ascii="Calibri" w:eastAsia="Calibri" w:hAnsi="Calibri" w:cs="Calibri"/>
              </w:rPr>
            </w:pPr>
            <w:r>
              <w:rPr>
                <w:rFonts w:ascii="Calibri" w:eastAsia="Calibri" w:hAnsi="Calibri" w:cs="Calibri"/>
              </w:rPr>
              <w:t>Connexion</w:t>
            </w:r>
          </w:p>
        </w:tc>
        <w:tc>
          <w:tcPr>
            <w:tcW w:w="4530" w:type="dxa"/>
            <w:tcMar>
              <w:top w:w="100" w:type="dxa"/>
              <w:left w:w="100" w:type="dxa"/>
              <w:bottom w:w="100" w:type="dxa"/>
              <w:right w:w="100" w:type="dxa"/>
            </w:tcMar>
          </w:tcPr>
          <w:p w14:paraId="090F5FA7"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L’utilisateur se connecte au système de gestion de l’information (SGI) utilisé pour la gestion des stocks de MII </w:t>
            </w:r>
          </w:p>
        </w:tc>
      </w:tr>
      <w:tr w:rsidR="006A0CC3" w14:paraId="2AF88E54" w14:textId="77777777">
        <w:tc>
          <w:tcPr>
            <w:tcW w:w="1650" w:type="dxa"/>
            <w:tcMar>
              <w:top w:w="100" w:type="dxa"/>
              <w:left w:w="100" w:type="dxa"/>
              <w:bottom w:w="100" w:type="dxa"/>
              <w:right w:w="100" w:type="dxa"/>
            </w:tcMar>
          </w:tcPr>
          <w:p w14:paraId="6791F1E1" w14:textId="77777777" w:rsidR="006A0CC3" w:rsidRDefault="00743C78">
            <w:pPr>
              <w:widowControl w:val="0"/>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64F93BDF" w14:textId="77777777" w:rsidR="006A0CC3" w:rsidRDefault="00743C78">
            <w:pPr>
              <w:widowControl w:val="0"/>
              <w:spacing w:line="240" w:lineRule="auto"/>
              <w:rPr>
                <w:rFonts w:ascii="Calibri" w:eastAsia="Calibri" w:hAnsi="Calibri" w:cs="Calibri"/>
              </w:rPr>
            </w:pPr>
            <w:r>
              <w:rPr>
                <w:rFonts w:ascii="Calibri" w:eastAsia="Calibri" w:hAnsi="Calibri" w:cs="Calibri"/>
              </w:rPr>
              <w:t>Authentification</w:t>
            </w:r>
          </w:p>
        </w:tc>
        <w:tc>
          <w:tcPr>
            <w:tcW w:w="4530" w:type="dxa"/>
            <w:tcMar>
              <w:top w:w="100" w:type="dxa"/>
              <w:left w:w="100" w:type="dxa"/>
              <w:bottom w:w="100" w:type="dxa"/>
              <w:right w:w="100" w:type="dxa"/>
            </w:tcMar>
          </w:tcPr>
          <w:p w14:paraId="487AD2DF"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Informations d’identification de l’utilisateur confirmées/rejetées. Les droits/privilèges des utilisateurs doivent être préconfigurés </w:t>
            </w:r>
          </w:p>
        </w:tc>
      </w:tr>
      <w:tr w:rsidR="006A0CC3" w14:paraId="5DFB70D3" w14:textId="77777777">
        <w:tc>
          <w:tcPr>
            <w:tcW w:w="1650" w:type="dxa"/>
            <w:tcMar>
              <w:top w:w="100" w:type="dxa"/>
              <w:left w:w="100" w:type="dxa"/>
              <w:bottom w:w="100" w:type="dxa"/>
              <w:right w:w="100" w:type="dxa"/>
            </w:tcMar>
          </w:tcPr>
          <w:p w14:paraId="1C78F3C6" w14:textId="77777777" w:rsidR="006A0CC3" w:rsidRDefault="00743C78">
            <w:pPr>
              <w:widowControl w:val="0"/>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672CC2CD" w14:textId="77777777" w:rsidR="006A0CC3" w:rsidRDefault="00743C78">
            <w:pPr>
              <w:widowControl w:val="0"/>
              <w:spacing w:line="240" w:lineRule="auto"/>
              <w:rPr>
                <w:rFonts w:ascii="Calibri" w:eastAsia="Calibri" w:hAnsi="Calibri" w:cs="Calibri"/>
              </w:rPr>
            </w:pPr>
            <w:r>
              <w:rPr>
                <w:rFonts w:ascii="Calibri" w:eastAsia="Calibri" w:hAnsi="Calibri" w:cs="Calibri"/>
              </w:rPr>
              <w:t>Naviguer vers le module « Receiving » (« Réception »)</w:t>
            </w:r>
          </w:p>
          <w:p w14:paraId="3B3A2470" w14:textId="77777777" w:rsidR="006A0CC3" w:rsidRDefault="006A0CC3">
            <w:pPr>
              <w:widowControl w:val="0"/>
              <w:spacing w:line="240" w:lineRule="auto"/>
              <w:rPr>
                <w:rFonts w:ascii="Calibri" w:eastAsia="Calibri" w:hAnsi="Calibri" w:cs="Calibri"/>
              </w:rPr>
            </w:pPr>
          </w:p>
          <w:p w14:paraId="4094C117" w14:textId="77777777" w:rsidR="006A0CC3" w:rsidRDefault="00743C78">
            <w:pPr>
              <w:widowControl w:val="0"/>
              <w:spacing w:line="240" w:lineRule="auto"/>
              <w:rPr>
                <w:rFonts w:ascii="Calibri" w:eastAsia="Calibri" w:hAnsi="Calibri" w:cs="Calibri"/>
              </w:rPr>
            </w:pPr>
            <w:r>
              <w:rPr>
                <w:rFonts w:ascii="Calibri" w:eastAsia="Calibri" w:hAnsi="Calibri" w:cs="Calibri"/>
              </w:rPr>
              <w:t>Saisir le(s) numéro(s) de référence du document d’expédition</w:t>
            </w:r>
          </w:p>
        </w:tc>
        <w:tc>
          <w:tcPr>
            <w:tcW w:w="4530" w:type="dxa"/>
            <w:tcMar>
              <w:top w:w="100" w:type="dxa"/>
              <w:left w:w="100" w:type="dxa"/>
              <w:bottom w:w="100" w:type="dxa"/>
              <w:right w:w="100" w:type="dxa"/>
            </w:tcMar>
          </w:tcPr>
          <w:p w14:paraId="25C0787B" w14:textId="77777777" w:rsidR="006A0CC3" w:rsidRDefault="00743C78">
            <w:pPr>
              <w:widowControl w:val="0"/>
              <w:numPr>
                <w:ilvl w:val="0"/>
                <w:numId w:val="1"/>
              </w:numPr>
              <w:spacing w:line="240" w:lineRule="auto"/>
              <w:rPr>
                <w:rFonts w:ascii="Calibri" w:eastAsia="Calibri" w:hAnsi="Calibri" w:cs="Calibri"/>
              </w:rPr>
            </w:pPr>
            <w:r>
              <w:rPr>
                <w:rFonts w:ascii="Calibri" w:eastAsia="Calibri" w:hAnsi="Calibri" w:cs="Calibri"/>
              </w:rPr>
              <w:t>L’utilisateur accède à l’option « Non-Purchase Order (PO) receiving » (« Réception hors bons de commande ») du SGI</w:t>
            </w:r>
          </w:p>
          <w:p w14:paraId="63DADA74" w14:textId="77777777" w:rsidR="006A0CC3" w:rsidRDefault="00743C78">
            <w:pPr>
              <w:widowControl w:val="0"/>
              <w:numPr>
                <w:ilvl w:val="0"/>
                <w:numId w:val="1"/>
              </w:numPr>
              <w:spacing w:line="240" w:lineRule="auto"/>
              <w:rPr>
                <w:rFonts w:ascii="Calibri" w:eastAsia="Calibri" w:hAnsi="Calibri" w:cs="Calibri"/>
              </w:rPr>
            </w:pPr>
            <w:r>
              <w:rPr>
                <w:rFonts w:ascii="Calibri" w:eastAsia="Calibri" w:hAnsi="Calibri" w:cs="Calibri"/>
              </w:rPr>
              <w:t>L’utilisateur saisit le(s) numéro(s) de référence de la livraison indiqué(s) sur les documents d’expédition associés</w:t>
            </w:r>
          </w:p>
        </w:tc>
      </w:tr>
      <w:tr w:rsidR="006A0CC3" w14:paraId="44990DA3" w14:textId="77777777">
        <w:tc>
          <w:tcPr>
            <w:tcW w:w="1650" w:type="dxa"/>
            <w:tcMar>
              <w:top w:w="100" w:type="dxa"/>
              <w:left w:w="100" w:type="dxa"/>
              <w:bottom w:w="100" w:type="dxa"/>
              <w:right w:w="100" w:type="dxa"/>
            </w:tcMar>
          </w:tcPr>
          <w:p w14:paraId="122442F2" w14:textId="77777777" w:rsidR="006A0CC3" w:rsidRDefault="00743C78">
            <w:pPr>
              <w:widowControl w:val="0"/>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1428EDCC" w14:textId="77777777" w:rsidR="006A0CC3" w:rsidRDefault="00743C78">
            <w:pPr>
              <w:widowControl w:val="0"/>
              <w:spacing w:line="240" w:lineRule="auto"/>
              <w:rPr>
                <w:rFonts w:ascii="Calibri" w:eastAsia="Calibri" w:hAnsi="Calibri" w:cs="Calibri"/>
              </w:rPr>
            </w:pPr>
            <w:r>
              <w:rPr>
                <w:rFonts w:ascii="Calibri" w:eastAsia="Calibri" w:hAnsi="Calibri" w:cs="Calibri"/>
              </w:rPr>
              <w:t>Remplissage de la quantité attendue à la réception</w:t>
            </w:r>
          </w:p>
        </w:tc>
        <w:tc>
          <w:tcPr>
            <w:tcW w:w="4530" w:type="dxa"/>
            <w:tcMar>
              <w:top w:w="100" w:type="dxa"/>
              <w:left w:w="100" w:type="dxa"/>
              <w:bottom w:w="100" w:type="dxa"/>
              <w:right w:w="100" w:type="dxa"/>
            </w:tcMar>
          </w:tcPr>
          <w:p w14:paraId="01376136"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L’utilisateur saisit manuellement la quantité attendue sur la base des documents d’expédition</w:t>
            </w:r>
          </w:p>
        </w:tc>
      </w:tr>
      <w:tr w:rsidR="006A0CC3" w14:paraId="13F65538" w14:textId="77777777">
        <w:tc>
          <w:tcPr>
            <w:tcW w:w="1650" w:type="dxa"/>
            <w:tcMar>
              <w:top w:w="100" w:type="dxa"/>
              <w:left w:w="100" w:type="dxa"/>
              <w:bottom w:w="100" w:type="dxa"/>
              <w:right w:w="100" w:type="dxa"/>
            </w:tcMar>
          </w:tcPr>
          <w:p w14:paraId="3EAD08D2" w14:textId="77777777" w:rsidR="006A0CC3" w:rsidRDefault="00743C78">
            <w:pPr>
              <w:widowControl w:val="0"/>
              <w:spacing w:line="240" w:lineRule="auto"/>
              <w:rPr>
                <w:rFonts w:ascii="Calibri" w:eastAsia="Calibri" w:hAnsi="Calibri" w:cs="Calibri"/>
              </w:rPr>
            </w:pPr>
            <w:r>
              <w:rPr>
                <w:rFonts w:ascii="Calibri" w:eastAsia="Calibri" w:hAnsi="Calibri" w:cs="Calibri"/>
              </w:rPr>
              <w:t>5</w:t>
            </w:r>
          </w:p>
        </w:tc>
        <w:tc>
          <w:tcPr>
            <w:tcW w:w="3180" w:type="dxa"/>
            <w:tcMar>
              <w:top w:w="100" w:type="dxa"/>
              <w:left w:w="100" w:type="dxa"/>
              <w:bottom w:w="100" w:type="dxa"/>
              <w:right w:w="100" w:type="dxa"/>
            </w:tcMar>
          </w:tcPr>
          <w:p w14:paraId="0F384718" w14:textId="77777777" w:rsidR="006A0CC3" w:rsidRDefault="00743C78">
            <w:pPr>
              <w:widowControl w:val="0"/>
              <w:spacing w:line="240" w:lineRule="auto"/>
              <w:rPr>
                <w:rFonts w:ascii="Calibri" w:eastAsia="Calibri" w:hAnsi="Calibri" w:cs="Calibri"/>
              </w:rPr>
            </w:pPr>
            <w:r>
              <w:rPr>
                <w:rFonts w:ascii="Calibri" w:eastAsia="Calibri" w:hAnsi="Calibri" w:cs="Calibri"/>
              </w:rPr>
              <w:t>Disponibilité des supports de données</w:t>
            </w:r>
          </w:p>
        </w:tc>
        <w:tc>
          <w:tcPr>
            <w:tcW w:w="4530" w:type="dxa"/>
            <w:tcMar>
              <w:top w:w="100" w:type="dxa"/>
              <w:left w:w="100" w:type="dxa"/>
              <w:bottom w:w="100" w:type="dxa"/>
              <w:right w:w="100" w:type="dxa"/>
            </w:tcMar>
          </w:tcPr>
          <w:p w14:paraId="7D0C1F49" w14:textId="77777777" w:rsidR="006A0CC3" w:rsidRDefault="00743C78">
            <w:pPr>
              <w:widowControl w:val="0"/>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L’utilisateur vérifie si les unités logistiques (les balles) de la cargaison sont dotées d’étiquettes logistiques comprenant un SSCC</w:t>
            </w:r>
          </w:p>
          <w:p w14:paraId="55191CDE" w14:textId="77777777" w:rsidR="006A0CC3" w:rsidRDefault="00743C78">
            <w:pPr>
              <w:widowControl w:val="0"/>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OUI, passer à la procédure 6</w:t>
            </w:r>
          </w:p>
          <w:p w14:paraId="3F755979" w14:textId="77777777" w:rsidR="006A0CC3" w:rsidRDefault="00743C78">
            <w:pPr>
              <w:widowControl w:val="0"/>
              <w:numPr>
                <w:ilvl w:val="0"/>
                <w:numId w:val="15"/>
              </w:numPr>
              <w:spacing w:line="240" w:lineRule="auto"/>
              <w:rPr>
                <w:rFonts w:ascii="Calibri" w:eastAsia="Calibri" w:hAnsi="Calibri" w:cs="Calibri"/>
              </w:rPr>
            </w:pPr>
            <w:r>
              <w:rPr>
                <w:rFonts w:ascii="Calibri" w:eastAsia="Calibri" w:hAnsi="Calibri" w:cs="Calibri"/>
              </w:rPr>
              <w:t xml:space="preserve">Si NON, voir : </w:t>
            </w:r>
            <w:r>
              <w:rPr>
                <w:rFonts w:ascii="Calibri" w:eastAsia="Calibri" w:hAnsi="Calibri" w:cs="Calibri"/>
                <w:b/>
                <w:bCs/>
              </w:rPr>
              <w:t xml:space="preserve">PROCÉDURES DE RAPPROCHEMENT DES ÉCARTS DE DÉSAGRÉGATION DES BALLES DE MII </w:t>
            </w:r>
            <w:r>
              <w:rPr>
                <w:rFonts w:ascii="Calibri" w:eastAsia="Calibri" w:hAnsi="Calibri" w:cs="Calibri"/>
              </w:rPr>
              <w:t>(annexe)</w:t>
            </w:r>
          </w:p>
        </w:tc>
      </w:tr>
      <w:tr w:rsidR="006A0CC3" w14:paraId="2D7FFC04" w14:textId="77777777">
        <w:tc>
          <w:tcPr>
            <w:tcW w:w="1650" w:type="dxa"/>
            <w:tcMar>
              <w:top w:w="100" w:type="dxa"/>
              <w:left w:w="100" w:type="dxa"/>
              <w:bottom w:w="100" w:type="dxa"/>
              <w:right w:w="100" w:type="dxa"/>
            </w:tcMar>
          </w:tcPr>
          <w:p w14:paraId="6C300C26" w14:textId="77777777" w:rsidR="006A0CC3" w:rsidRDefault="00743C78">
            <w:pPr>
              <w:widowControl w:val="0"/>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0A4F0099" w14:textId="77777777" w:rsidR="006A0CC3" w:rsidRDefault="00743C78">
            <w:pPr>
              <w:widowControl w:val="0"/>
              <w:spacing w:line="240" w:lineRule="auto"/>
              <w:rPr>
                <w:rFonts w:ascii="Calibri" w:eastAsia="Calibri" w:hAnsi="Calibri" w:cs="Calibri"/>
              </w:rPr>
            </w:pPr>
            <w:r>
              <w:rPr>
                <w:rFonts w:ascii="Calibri" w:eastAsia="Calibri" w:hAnsi="Calibri" w:cs="Calibri"/>
              </w:rPr>
              <w:t>Scanner le numéro séquentiel de colis (SSCC)</w:t>
            </w:r>
          </w:p>
        </w:tc>
        <w:tc>
          <w:tcPr>
            <w:tcW w:w="4530" w:type="dxa"/>
            <w:tcMar>
              <w:top w:w="100" w:type="dxa"/>
              <w:left w:w="100" w:type="dxa"/>
              <w:bottom w:w="100" w:type="dxa"/>
              <w:right w:w="100" w:type="dxa"/>
            </w:tcMar>
          </w:tcPr>
          <w:p w14:paraId="13D6AB8D" w14:textId="77777777" w:rsidR="006A0CC3" w:rsidRDefault="00743C78">
            <w:pPr>
              <w:widowControl w:val="0"/>
              <w:spacing w:line="240" w:lineRule="auto"/>
              <w:rPr>
                <w:rFonts w:ascii="Calibri" w:eastAsia="Calibri" w:hAnsi="Calibri" w:cs="Calibri"/>
                <w:b/>
                <w:bCs/>
              </w:rPr>
            </w:pPr>
            <w:r>
              <w:rPr>
                <w:rFonts w:ascii="Calibri" w:eastAsia="Calibri" w:hAnsi="Calibri" w:cs="Calibri"/>
              </w:rPr>
              <w:t xml:space="preserve">L’utilisateur scanne le SSCC de la balle, et le SGI crée un enregistrement de cette unité logistique unique. Passe automatiquement à la procédure 7 </w:t>
            </w:r>
          </w:p>
        </w:tc>
      </w:tr>
      <w:tr w:rsidR="006A0CC3" w14:paraId="1B5F0750" w14:textId="77777777">
        <w:trPr>
          <w:trHeight w:val="680"/>
        </w:trPr>
        <w:tc>
          <w:tcPr>
            <w:tcW w:w="1650" w:type="dxa"/>
            <w:tcMar>
              <w:top w:w="100" w:type="dxa"/>
              <w:left w:w="100" w:type="dxa"/>
              <w:bottom w:w="100" w:type="dxa"/>
              <w:right w:w="100" w:type="dxa"/>
            </w:tcMar>
          </w:tcPr>
          <w:p w14:paraId="21F3FD59" w14:textId="77777777" w:rsidR="006A0CC3" w:rsidRDefault="00743C78">
            <w:pPr>
              <w:widowControl w:val="0"/>
              <w:spacing w:line="240" w:lineRule="auto"/>
              <w:rPr>
                <w:rFonts w:ascii="Calibri" w:eastAsia="Calibri" w:hAnsi="Calibri" w:cs="Calibri"/>
              </w:rPr>
            </w:pPr>
            <w:r>
              <w:rPr>
                <w:rFonts w:ascii="Calibri" w:eastAsia="Calibri" w:hAnsi="Calibri" w:cs="Calibri"/>
              </w:rPr>
              <w:t>7</w:t>
            </w:r>
          </w:p>
        </w:tc>
        <w:tc>
          <w:tcPr>
            <w:tcW w:w="3180" w:type="dxa"/>
            <w:tcMar>
              <w:top w:w="100" w:type="dxa"/>
              <w:left w:w="100" w:type="dxa"/>
              <w:bottom w:w="100" w:type="dxa"/>
              <w:right w:w="100" w:type="dxa"/>
            </w:tcMar>
          </w:tcPr>
          <w:p w14:paraId="284AF548" w14:textId="77777777" w:rsidR="006A0CC3" w:rsidRDefault="00743C78">
            <w:pPr>
              <w:widowControl w:val="0"/>
              <w:numPr>
                <w:ilvl w:val="0"/>
                <w:numId w:val="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Enregistrement du lot</w:t>
            </w:r>
          </w:p>
          <w:p w14:paraId="5EB09C9A" w14:textId="77777777" w:rsidR="006A0CC3" w:rsidRDefault="00743C78">
            <w:pPr>
              <w:widowControl w:val="0"/>
              <w:numPr>
                <w:ilvl w:val="0"/>
                <w:numId w:val="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Enregistrement de la date de production</w:t>
            </w:r>
          </w:p>
          <w:p w14:paraId="3874AACB" w14:textId="77777777" w:rsidR="006A0CC3" w:rsidRDefault="00743C78">
            <w:pPr>
              <w:widowControl w:val="0"/>
              <w:numPr>
                <w:ilvl w:val="0"/>
                <w:numId w:val="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Enregistrement de la quantité</w:t>
            </w:r>
          </w:p>
          <w:p w14:paraId="6EC90855" w14:textId="77777777" w:rsidR="006A0CC3" w:rsidRDefault="00743C78">
            <w:pPr>
              <w:widowControl w:val="0"/>
              <w:numPr>
                <w:ilvl w:val="0"/>
                <w:numId w:val="8"/>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Continuer jusqu’à l’invite « Receive » (« </w:t>
            </w:r>
            <w:sdt>
              <w:sdtPr>
                <w:tag w:val="goog_rdk_8"/>
                <w:id w:val="-1243412222"/>
              </w:sdtPr>
              <w:sdtEndPr/>
              <w:sdtContent/>
            </w:sdt>
            <w:r>
              <w:rPr>
                <w:rFonts w:ascii="Calibri" w:eastAsia="Calibri" w:hAnsi="Calibri" w:cs="Calibri"/>
                <w:color w:val="000000"/>
              </w:rPr>
              <w:t>Recevoir »)</w:t>
            </w:r>
          </w:p>
        </w:tc>
        <w:tc>
          <w:tcPr>
            <w:tcW w:w="4530" w:type="dxa"/>
            <w:tcMar>
              <w:top w:w="100" w:type="dxa"/>
              <w:left w:w="100" w:type="dxa"/>
              <w:bottom w:w="100" w:type="dxa"/>
              <w:right w:w="100" w:type="dxa"/>
            </w:tcMar>
          </w:tcPr>
          <w:p w14:paraId="315195DF" w14:textId="77777777" w:rsidR="006A0CC3" w:rsidRDefault="00743C78">
            <w:pPr>
              <w:widowControl w:val="0"/>
              <w:spacing w:line="240" w:lineRule="auto"/>
              <w:rPr>
                <w:rFonts w:ascii="Calibri" w:eastAsia="Calibri" w:hAnsi="Calibri" w:cs="Calibri"/>
              </w:rPr>
            </w:pPr>
            <w:r>
              <w:rPr>
                <w:rFonts w:ascii="Calibri" w:eastAsia="Calibri" w:hAnsi="Calibri" w:cs="Calibri"/>
              </w:rPr>
              <w:t>L’utilisateur est invité à scanner le support de données de la balle contenant le GTIN.</w:t>
            </w:r>
          </w:p>
          <w:p w14:paraId="21EF628E" w14:textId="77777777" w:rsidR="006A0CC3" w:rsidRDefault="00743C78">
            <w:pPr>
              <w:widowControl w:val="0"/>
              <w:numPr>
                <w:ilvl w:val="0"/>
                <w:numId w:val="18"/>
              </w:numPr>
              <w:spacing w:line="240" w:lineRule="auto"/>
              <w:rPr>
                <w:rFonts w:ascii="Calibri" w:eastAsia="Calibri" w:hAnsi="Calibri" w:cs="Calibri"/>
              </w:rPr>
            </w:pPr>
            <w:r>
              <w:rPr>
                <w:rFonts w:ascii="Calibri" w:eastAsia="Calibri" w:hAnsi="Calibri" w:cs="Calibri"/>
              </w:rPr>
              <w:t>Le scannage remplira l’enregistrement du SGI créé par le SSCC en conséquence sur la base du contenu du support de données et des champs correspondants configurés dans le SGI pour recevoir ces données</w:t>
            </w:r>
          </w:p>
          <w:p w14:paraId="77A4B38E"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L’utilisateur est invité à poursuivre le scannage ou à sélectionner « Close receipt</w:t>
            </w:r>
            <w:r>
              <w:rPr>
                <w:rFonts w:ascii="Calibri" w:eastAsia="Calibri" w:hAnsi="Calibri" w:cs="Calibri"/>
                <w:i/>
                <w:iCs/>
              </w:rPr>
              <w:t> </w:t>
            </w:r>
            <w:r>
              <w:rPr>
                <w:rFonts w:ascii="Calibri" w:eastAsia="Calibri" w:hAnsi="Calibri" w:cs="Calibri"/>
              </w:rPr>
              <w:t>» (« </w:t>
            </w:r>
            <w:sdt>
              <w:sdtPr>
                <w:tag w:val="goog_rdk_9"/>
                <w:id w:val="621912361"/>
              </w:sdtPr>
              <w:sdtEndPr/>
              <w:sdtContent/>
            </w:sdt>
            <w:r>
              <w:rPr>
                <w:rFonts w:ascii="Calibri" w:eastAsia="Calibri" w:hAnsi="Calibri" w:cs="Calibri"/>
              </w:rPr>
              <w:t>Clore la réception »)</w:t>
            </w:r>
          </w:p>
          <w:p w14:paraId="048943DA"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S’il y a d’autres balles à recevoir, passer à la procédure 6</w:t>
            </w:r>
          </w:p>
          <w:p w14:paraId="20FCC003"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S’il n’y a plus de balles à recevoir, passer à la procédure 8</w:t>
            </w:r>
          </w:p>
        </w:tc>
      </w:tr>
      <w:tr w:rsidR="006A0CC3" w14:paraId="76B4BFC9" w14:textId="77777777">
        <w:trPr>
          <w:trHeight w:val="113"/>
        </w:trPr>
        <w:tc>
          <w:tcPr>
            <w:tcW w:w="1650" w:type="dxa"/>
            <w:tcMar>
              <w:top w:w="100" w:type="dxa"/>
              <w:left w:w="100" w:type="dxa"/>
              <w:bottom w:w="100" w:type="dxa"/>
              <w:right w:w="100" w:type="dxa"/>
            </w:tcMar>
          </w:tcPr>
          <w:p w14:paraId="27A841D6" w14:textId="77777777" w:rsidR="006A0CC3" w:rsidRDefault="00743C78">
            <w:pPr>
              <w:widowControl w:val="0"/>
              <w:spacing w:line="240" w:lineRule="auto"/>
              <w:rPr>
                <w:rFonts w:ascii="Calibri" w:eastAsia="Calibri" w:hAnsi="Calibri" w:cs="Calibri"/>
              </w:rPr>
            </w:pPr>
            <w:r>
              <w:rPr>
                <w:rFonts w:ascii="Calibri" w:eastAsia="Calibri" w:hAnsi="Calibri" w:cs="Calibri"/>
              </w:rPr>
              <w:t>8</w:t>
            </w:r>
          </w:p>
        </w:tc>
        <w:tc>
          <w:tcPr>
            <w:tcW w:w="3180" w:type="dxa"/>
            <w:tcMar>
              <w:top w:w="100" w:type="dxa"/>
              <w:left w:w="100" w:type="dxa"/>
              <w:bottom w:w="100" w:type="dxa"/>
              <w:right w:w="100" w:type="dxa"/>
            </w:tcMar>
          </w:tcPr>
          <w:p w14:paraId="7CF263F0" w14:textId="77777777" w:rsidR="006A0CC3" w:rsidRDefault="00743C78">
            <w:pPr>
              <w:widowControl w:val="0"/>
              <w:spacing w:line="240" w:lineRule="auto"/>
              <w:rPr>
                <w:rFonts w:ascii="Calibri" w:eastAsia="Calibri" w:hAnsi="Calibri" w:cs="Calibri"/>
              </w:rPr>
            </w:pPr>
            <w:r>
              <w:rPr>
                <w:rFonts w:ascii="Calibri" w:eastAsia="Calibri" w:hAnsi="Calibri" w:cs="Calibri"/>
              </w:rPr>
              <w:t>Rapprochement du décompte des véhicules/conteneurs</w:t>
            </w:r>
          </w:p>
        </w:tc>
        <w:tc>
          <w:tcPr>
            <w:tcW w:w="4530" w:type="dxa"/>
            <w:tcMar>
              <w:top w:w="100" w:type="dxa"/>
              <w:left w:w="100" w:type="dxa"/>
              <w:bottom w:w="100" w:type="dxa"/>
              <w:right w:w="100" w:type="dxa"/>
            </w:tcMar>
          </w:tcPr>
          <w:p w14:paraId="79F0ED0A" w14:textId="77777777" w:rsidR="006A0CC3" w:rsidRDefault="00743C78">
            <w:pPr>
              <w:widowControl w:val="0"/>
              <w:spacing w:line="240" w:lineRule="auto"/>
              <w:rPr>
                <w:rFonts w:ascii="Calibri" w:eastAsia="Calibri" w:hAnsi="Calibri" w:cs="Calibri"/>
              </w:rPr>
            </w:pPr>
            <w:r>
              <w:rPr>
                <w:rFonts w:ascii="Calibri" w:eastAsia="Calibri" w:hAnsi="Calibri" w:cs="Calibri"/>
              </w:rPr>
              <w:t>L’utilisateur demande le statut de la quantité reçue.</w:t>
            </w:r>
          </w:p>
          <w:p w14:paraId="2AC28668" w14:textId="77777777" w:rsidR="006A0CC3" w:rsidRDefault="00743C78">
            <w:pPr>
              <w:widowControl w:val="0"/>
              <w:numPr>
                <w:ilvl w:val="0"/>
                <w:numId w:val="14"/>
              </w:numPr>
              <w:spacing w:line="240" w:lineRule="auto"/>
              <w:rPr>
                <w:rFonts w:ascii="Calibri" w:eastAsia="Calibri" w:hAnsi="Calibri" w:cs="Calibri"/>
              </w:rPr>
            </w:pPr>
            <w:r>
              <w:rPr>
                <w:rFonts w:ascii="Calibri" w:eastAsia="Calibri" w:hAnsi="Calibri" w:cs="Calibri"/>
              </w:rPr>
              <w:lastRenderedPageBreak/>
              <w:t>Cette quantité concorde-t-elle avec l’enregistrement écrit ou électronique de la quantité de balles par conteneur/véhicule saisi précédemment lors de la procédure 4 ?</w:t>
            </w:r>
          </w:p>
          <w:p w14:paraId="03AAFB4F" w14:textId="77777777" w:rsidR="006A0CC3" w:rsidRDefault="00743C78">
            <w:pPr>
              <w:widowControl w:val="0"/>
              <w:numPr>
                <w:ilvl w:val="0"/>
                <w:numId w:val="14"/>
              </w:numPr>
              <w:spacing w:line="240" w:lineRule="auto"/>
              <w:rPr>
                <w:rFonts w:ascii="Calibri" w:eastAsia="Calibri" w:hAnsi="Calibri" w:cs="Calibri"/>
              </w:rPr>
            </w:pPr>
            <w:r>
              <w:rPr>
                <w:rFonts w:ascii="Calibri" w:eastAsia="Calibri" w:hAnsi="Calibri" w:cs="Calibri"/>
              </w:rPr>
              <w:t>Si OUI, passer à la procédure 9</w:t>
            </w:r>
          </w:p>
          <w:p w14:paraId="5177A9AA" w14:textId="77777777" w:rsidR="006A0CC3" w:rsidRDefault="00743C78">
            <w:pPr>
              <w:widowControl w:val="0"/>
              <w:numPr>
                <w:ilvl w:val="0"/>
                <w:numId w:val="14"/>
              </w:numPr>
              <w:spacing w:line="240" w:lineRule="auto"/>
              <w:rPr>
                <w:rFonts w:ascii="Calibri" w:eastAsia="Calibri" w:hAnsi="Calibri" w:cs="Calibri"/>
              </w:rPr>
            </w:pPr>
            <w:r>
              <w:rPr>
                <w:rFonts w:ascii="Calibri" w:eastAsia="Calibri" w:hAnsi="Calibri" w:cs="Calibri"/>
              </w:rPr>
              <w:t xml:space="preserve">Si NON, voir : </w:t>
            </w:r>
            <w:r>
              <w:rPr>
                <w:rFonts w:ascii="Calibri" w:eastAsia="Calibri" w:hAnsi="Calibri" w:cs="Calibri"/>
                <w:b/>
                <w:bCs/>
              </w:rPr>
              <w:t>PROCÉDURES DE RAPPROCHEMENT DES ÉCARTS DE DÉSAGRÉGATION DES BALLES DE MII</w:t>
            </w:r>
          </w:p>
        </w:tc>
      </w:tr>
      <w:tr w:rsidR="006A0CC3" w14:paraId="5FE7E776" w14:textId="77777777">
        <w:tc>
          <w:tcPr>
            <w:tcW w:w="1650" w:type="dxa"/>
            <w:tcMar>
              <w:top w:w="100" w:type="dxa"/>
              <w:left w:w="100" w:type="dxa"/>
              <w:bottom w:w="100" w:type="dxa"/>
              <w:right w:w="100" w:type="dxa"/>
            </w:tcMar>
          </w:tcPr>
          <w:p w14:paraId="0F2E8AD8" w14:textId="77777777" w:rsidR="006A0CC3" w:rsidRDefault="00743C78">
            <w:pPr>
              <w:widowControl w:val="0"/>
              <w:spacing w:line="240" w:lineRule="auto"/>
              <w:rPr>
                <w:rFonts w:ascii="Calibri" w:eastAsia="Calibri" w:hAnsi="Calibri" w:cs="Calibri"/>
              </w:rPr>
            </w:pPr>
            <w:r>
              <w:rPr>
                <w:rFonts w:ascii="Calibri" w:eastAsia="Calibri" w:hAnsi="Calibri" w:cs="Calibri"/>
              </w:rPr>
              <w:lastRenderedPageBreak/>
              <w:t>9</w:t>
            </w:r>
          </w:p>
        </w:tc>
        <w:tc>
          <w:tcPr>
            <w:tcW w:w="3180" w:type="dxa"/>
            <w:tcMar>
              <w:top w:w="100" w:type="dxa"/>
              <w:left w:w="100" w:type="dxa"/>
              <w:bottom w:w="100" w:type="dxa"/>
              <w:right w:w="100" w:type="dxa"/>
            </w:tcMar>
          </w:tcPr>
          <w:p w14:paraId="079127A9" w14:textId="77777777" w:rsidR="006A0CC3" w:rsidRDefault="00743C78">
            <w:pPr>
              <w:widowControl w:val="0"/>
              <w:spacing w:line="240" w:lineRule="auto"/>
              <w:rPr>
                <w:rFonts w:ascii="Calibri" w:eastAsia="Calibri" w:hAnsi="Calibri" w:cs="Calibri"/>
              </w:rPr>
            </w:pPr>
            <w:r>
              <w:rPr>
                <w:rFonts w:ascii="Calibri" w:eastAsia="Calibri" w:hAnsi="Calibri" w:cs="Calibri"/>
              </w:rPr>
              <w:t>« Close receipt » (« Clore la réception »)</w:t>
            </w:r>
          </w:p>
        </w:tc>
        <w:tc>
          <w:tcPr>
            <w:tcW w:w="4530" w:type="dxa"/>
            <w:tcMar>
              <w:top w:w="100" w:type="dxa"/>
              <w:left w:w="100" w:type="dxa"/>
              <w:bottom w:w="100" w:type="dxa"/>
              <w:right w:w="100" w:type="dxa"/>
            </w:tcMar>
          </w:tcPr>
          <w:p w14:paraId="66AB31CB" w14:textId="77777777" w:rsidR="006A0CC3" w:rsidRDefault="00743C78">
            <w:pPr>
              <w:widowControl w:val="0"/>
              <w:spacing w:line="240" w:lineRule="auto"/>
              <w:rPr>
                <w:rFonts w:ascii="Calibri" w:eastAsia="Calibri" w:hAnsi="Calibri" w:cs="Calibri"/>
              </w:rPr>
            </w:pPr>
            <w:r>
              <w:rPr>
                <w:rFonts w:ascii="Calibri" w:eastAsia="Calibri" w:hAnsi="Calibri" w:cs="Calibri"/>
              </w:rPr>
              <w:t>Lorsque les données de la dernière balle du dernier conteneur/véhicule ont été saisies sur ses supports de données, l’utilisateur accède au module « Close receipt » (« Clore la réception ») du SGI.</w:t>
            </w:r>
          </w:p>
          <w:p w14:paraId="50A229D0" w14:textId="77777777" w:rsidR="006A0CC3" w:rsidRDefault="00743C78">
            <w:pPr>
              <w:widowControl w:val="0"/>
              <w:numPr>
                <w:ilvl w:val="0"/>
                <w:numId w:val="15"/>
              </w:numPr>
              <w:spacing w:line="240" w:lineRule="auto"/>
              <w:rPr>
                <w:rFonts w:ascii="Calibri" w:eastAsia="Calibri" w:hAnsi="Calibri" w:cs="Calibri"/>
              </w:rPr>
            </w:pPr>
            <w:r>
              <w:rPr>
                <w:rFonts w:ascii="Calibri" w:eastAsia="Calibri" w:hAnsi="Calibri" w:cs="Calibri"/>
              </w:rPr>
              <w:t>Le SGI compare la quantité reçue à l’enregistrement saisi manuellement de la quantité de balles attendues à la réception.</w:t>
            </w:r>
          </w:p>
          <w:p w14:paraId="782AEE12" w14:textId="77777777" w:rsidR="006A0CC3" w:rsidRDefault="00743C78">
            <w:pPr>
              <w:widowControl w:val="0"/>
              <w:numPr>
                <w:ilvl w:val="0"/>
                <w:numId w:val="15"/>
              </w:numPr>
              <w:spacing w:line="240" w:lineRule="auto"/>
              <w:rPr>
                <w:rFonts w:ascii="Calibri" w:eastAsia="Calibri" w:hAnsi="Calibri" w:cs="Calibri"/>
              </w:rPr>
            </w:pPr>
            <w:r>
              <w:rPr>
                <w:rFonts w:ascii="Calibri" w:eastAsia="Calibri" w:hAnsi="Calibri" w:cs="Calibri"/>
              </w:rPr>
              <w:t>S’il y a une concordance (OUI), la rubrique « Shipment receipt » (« Réception de la cargaison ») est enregistrée comme « Received/closed » (« </w:t>
            </w:r>
            <w:sdt>
              <w:sdtPr>
                <w:tag w:val="goog_rdk_10"/>
                <w:id w:val="2011703617"/>
              </w:sdtPr>
              <w:sdtEndPr/>
              <w:sdtContent/>
            </w:sdt>
            <w:r>
              <w:rPr>
                <w:rFonts w:ascii="Calibri" w:eastAsia="Calibri" w:hAnsi="Calibri" w:cs="Calibri"/>
              </w:rPr>
              <w:t>Reçu/clos »), et le stock est mis à jour en fonction de la quantité reçue.</w:t>
            </w:r>
          </w:p>
          <w:p w14:paraId="21FC1CC1" w14:textId="77777777" w:rsidR="006A0CC3" w:rsidRDefault="00743C78">
            <w:pPr>
              <w:widowControl w:val="0"/>
              <w:numPr>
                <w:ilvl w:val="0"/>
                <w:numId w:val="15"/>
              </w:numPr>
              <w:spacing w:line="240" w:lineRule="auto"/>
              <w:rPr>
                <w:rFonts w:ascii="Calibri" w:eastAsia="Calibri" w:hAnsi="Calibri" w:cs="Calibri"/>
              </w:rPr>
            </w:pPr>
            <w:r>
              <w:rPr>
                <w:rFonts w:ascii="Calibri" w:eastAsia="Calibri" w:hAnsi="Calibri" w:cs="Calibri"/>
              </w:rPr>
              <w:t xml:space="preserve">S’il n’y a pas de concordance (NON), voir : </w:t>
            </w:r>
            <w:r>
              <w:rPr>
                <w:rFonts w:ascii="Calibri" w:eastAsia="Calibri" w:hAnsi="Calibri" w:cs="Calibri"/>
                <w:b/>
                <w:bCs/>
              </w:rPr>
              <w:t>PROCÉDURES DE RAPPROCHEMENT DES ÉCARTS DE DÉSAGRÉGATION DES BALLES DE MII</w:t>
            </w:r>
          </w:p>
        </w:tc>
      </w:tr>
    </w:tbl>
    <w:p w14:paraId="5EA7816B" w14:textId="77777777" w:rsidR="006A0CC3" w:rsidRDefault="006A0CC3">
      <w:pPr>
        <w:spacing w:line="240" w:lineRule="auto"/>
        <w:rPr>
          <w:rFonts w:ascii="Calibri" w:eastAsia="Calibri" w:hAnsi="Calibri" w:cs="Calibri"/>
        </w:rPr>
      </w:pPr>
    </w:p>
    <w:p w14:paraId="5B1CC0C2" w14:textId="77777777" w:rsidR="006A0CC3" w:rsidRDefault="00743C78">
      <w:pPr>
        <w:spacing w:line="240" w:lineRule="auto"/>
      </w:pPr>
      <w:r>
        <w:t>—------------------------------------------------------------------------------------------------------------------------</w:t>
      </w:r>
    </w:p>
    <w:p w14:paraId="791BB8FA" w14:textId="77777777" w:rsidR="006A0CC3" w:rsidRDefault="006A0CC3">
      <w:pPr>
        <w:spacing w:line="240" w:lineRule="auto"/>
        <w:rPr>
          <w:rFonts w:ascii="Calibri" w:eastAsia="Calibri" w:hAnsi="Calibri" w:cs="Calibri"/>
        </w:rPr>
      </w:pPr>
    </w:p>
    <w:p w14:paraId="37943B3E" w14:textId="77777777" w:rsidR="006A0CC3" w:rsidRDefault="00743C78">
      <w:pPr>
        <w:spacing w:line="240" w:lineRule="auto"/>
        <w:rPr>
          <w:rFonts w:ascii="Calibri" w:eastAsia="Calibri" w:hAnsi="Calibri" w:cs="Calibri"/>
          <w:b/>
          <w:bCs/>
        </w:rPr>
      </w:pPr>
      <w:r>
        <w:rPr>
          <w:rFonts w:ascii="Calibri" w:eastAsia="Calibri" w:hAnsi="Calibri" w:cs="Calibri"/>
          <w:b/>
          <w:bCs/>
        </w:rPr>
        <w:t>3.</w:t>
      </w:r>
      <w:r>
        <w:rPr>
          <w:rFonts w:ascii="Calibri" w:eastAsia="Calibri" w:hAnsi="Calibri" w:cs="Calibri"/>
          <w:b/>
          <w:bCs/>
        </w:rPr>
        <w:tab/>
        <w:t>CRÉATION D’UNE COMMANDE/EXPÉDITION INTERNE</w:t>
      </w:r>
    </w:p>
    <w:p w14:paraId="4CB18D11" w14:textId="77777777" w:rsidR="006A0CC3" w:rsidRDefault="006A0CC3">
      <w:pPr>
        <w:spacing w:line="240" w:lineRule="auto"/>
        <w:rPr>
          <w:rFonts w:ascii="Calibri" w:eastAsia="Calibri" w:hAnsi="Calibri" w:cs="Calibri"/>
          <w:b/>
          <w:bCs/>
        </w:rPr>
      </w:pPr>
    </w:p>
    <w:p w14:paraId="527DB352" w14:textId="77777777" w:rsidR="006A0CC3" w:rsidRDefault="00743C78">
      <w:pPr>
        <w:spacing w:line="240" w:lineRule="auto"/>
        <w:rPr>
          <w:rFonts w:ascii="Calibri" w:eastAsia="Calibri" w:hAnsi="Calibri" w:cs="Calibri"/>
        </w:rPr>
      </w:pPr>
      <w:r>
        <w:rPr>
          <w:rFonts w:ascii="Calibri" w:eastAsia="Calibri" w:hAnsi="Calibri" w:cs="Calibri"/>
          <w:b/>
          <w:bCs/>
        </w:rPr>
        <w:t>Usage :</w:t>
      </w:r>
      <w:r>
        <w:rPr>
          <w:rFonts w:ascii="Calibri" w:eastAsia="Calibri" w:hAnsi="Calibri" w:cs="Calibri"/>
        </w:rPr>
        <w:t xml:space="preserve"> Ces POS s’appliquent à la création de toute expédition interne de balles de MII lorsqu’il existe un enregistrement préautorisé/préconfiguré dans le système de gestion de l’information (SGI) d’une quantité de balles de MII à envoyer d’un point A à un point B, par exemple lors d’un transfert entre un magasin médical central et un magasin médical provincial ou du magasin médical central à un partenaire de mise en œuvre, et lorsque la création d’une commande/expédition aveugle est mise en œuvre.</w:t>
      </w:r>
    </w:p>
    <w:p w14:paraId="3B552B14" w14:textId="77777777" w:rsidR="006A0CC3" w:rsidRDefault="006A0CC3">
      <w:pPr>
        <w:spacing w:line="240" w:lineRule="auto"/>
        <w:rPr>
          <w:rFonts w:ascii="Calibri" w:eastAsia="Calibri" w:hAnsi="Calibri" w:cs="Calibri"/>
        </w:rPr>
      </w:pPr>
    </w:p>
    <w:p w14:paraId="4D627362" w14:textId="77777777" w:rsidR="006A0CC3" w:rsidRDefault="00743C78">
      <w:pPr>
        <w:spacing w:line="240" w:lineRule="auto"/>
        <w:rPr>
          <w:rFonts w:ascii="Calibri" w:eastAsia="Calibri" w:hAnsi="Calibri" w:cs="Calibri"/>
        </w:rPr>
      </w:pPr>
      <w:r>
        <w:rPr>
          <w:rFonts w:ascii="Calibri" w:eastAsia="Calibri" w:hAnsi="Calibri" w:cs="Calibri"/>
          <w:b/>
          <w:bCs/>
        </w:rPr>
        <w:t>Exigences :</w:t>
      </w:r>
    </w:p>
    <w:p w14:paraId="54F15DA1"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SGI de la chaîne d’approvisionnement des MII qui a assuré le suivi des unités logistiques (balles) par numéro séquentiel de colis (SSCC)</w:t>
      </w:r>
    </w:p>
    <w:p w14:paraId="4AA1B9F6" w14:textId="77777777" w:rsidR="006A0CC3" w:rsidRDefault="00743C78">
      <w:pPr>
        <w:widowControl w:val="0"/>
        <w:numPr>
          <w:ilvl w:val="0"/>
          <w:numId w:val="12"/>
        </w:numPr>
        <w:spacing w:line="240" w:lineRule="auto"/>
        <w:rPr>
          <w:rFonts w:ascii="Calibri" w:eastAsia="Calibri" w:hAnsi="Calibri" w:cs="Calibri"/>
        </w:rPr>
      </w:pPr>
      <w:r>
        <w:rPr>
          <w:rFonts w:ascii="Calibri" w:eastAsia="Calibri" w:hAnsi="Calibri" w:cs="Calibri"/>
        </w:rPr>
        <w:t>La description de produit du SGI est associée à un code article international (GTIN) fourni par le fabricant</w:t>
      </w:r>
    </w:p>
    <w:p w14:paraId="3967EF5B"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Enregistrement préautorisé/préconfiguré dans le SGI d’une quantité de balles de MII à envoyer du point A au point B</w:t>
      </w:r>
    </w:p>
    <w:p w14:paraId="6356397E" w14:textId="77777777" w:rsidR="006A0CC3" w:rsidRDefault="00743C78">
      <w:pPr>
        <w:widowControl w:val="0"/>
        <w:numPr>
          <w:ilvl w:val="0"/>
          <w:numId w:val="12"/>
        </w:numPr>
        <w:spacing w:line="240" w:lineRule="auto"/>
      </w:pPr>
      <w:r>
        <w:rPr>
          <w:rFonts w:ascii="Calibri" w:eastAsia="Calibri" w:hAnsi="Calibri" w:cs="Calibri"/>
        </w:rPr>
        <w:t>Le SGI peut créer des documents d’expédition basés sur le SSCC et le contenu lié au SSCC</w:t>
      </w:r>
    </w:p>
    <w:p w14:paraId="7DE882E4" w14:textId="77777777" w:rsidR="006A0CC3" w:rsidRDefault="006A0CC3">
      <w:pPr>
        <w:spacing w:line="240" w:lineRule="auto"/>
        <w:rPr>
          <w:rFonts w:ascii="Calibri" w:eastAsia="Calibri" w:hAnsi="Calibri" w:cs="Calibri"/>
        </w:rPr>
      </w:pPr>
    </w:p>
    <w:p w14:paraId="5BF26926" w14:textId="77777777" w:rsidR="006A0CC3" w:rsidRDefault="00743C78">
      <w:pPr>
        <w:spacing w:line="240" w:lineRule="auto"/>
        <w:rPr>
          <w:rFonts w:ascii="Calibri" w:eastAsia="Calibri" w:hAnsi="Calibri" w:cs="Calibri"/>
          <w:b/>
          <w:bCs/>
        </w:rPr>
      </w:pPr>
      <w:r>
        <w:rPr>
          <w:rFonts w:ascii="Calibri" w:eastAsia="Calibri" w:hAnsi="Calibri" w:cs="Calibri"/>
          <w:b/>
          <w:bCs/>
        </w:rPr>
        <w:t>Procédures</w:t>
      </w:r>
    </w:p>
    <w:p w14:paraId="7DB8CE9D" w14:textId="77777777" w:rsidR="006A0CC3" w:rsidRDefault="006A0CC3">
      <w:pPr>
        <w:spacing w:line="240" w:lineRule="auto"/>
      </w:pPr>
    </w:p>
    <w:tbl>
      <w:tblPr>
        <w:tblStyle w:val="af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3180"/>
        <w:gridCol w:w="4530"/>
      </w:tblGrid>
      <w:tr w:rsidR="006A0CC3" w14:paraId="2A2C3FC9" w14:textId="77777777">
        <w:trPr>
          <w:trHeight w:val="624"/>
        </w:trPr>
        <w:tc>
          <w:tcPr>
            <w:tcW w:w="1650" w:type="dxa"/>
            <w:tcMar>
              <w:top w:w="100" w:type="dxa"/>
              <w:left w:w="100" w:type="dxa"/>
              <w:bottom w:w="100" w:type="dxa"/>
              <w:right w:w="100" w:type="dxa"/>
            </w:tcMar>
          </w:tcPr>
          <w:p w14:paraId="35DB47E2" w14:textId="77777777" w:rsidR="006A0CC3" w:rsidRDefault="00743C78">
            <w:pPr>
              <w:widowControl w:val="0"/>
              <w:spacing w:line="240" w:lineRule="auto"/>
              <w:rPr>
                <w:rFonts w:ascii="Calibri" w:eastAsia="Calibri" w:hAnsi="Calibri" w:cs="Calibri"/>
                <w:b/>
                <w:bCs/>
              </w:rPr>
            </w:pPr>
            <w:r>
              <w:rPr>
                <w:rFonts w:ascii="Calibri" w:eastAsia="Calibri" w:hAnsi="Calibri" w:cs="Calibri"/>
                <w:b/>
                <w:bCs/>
              </w:rPr>
              <w:lastRenderedPageBreak/>
              <w:t xml:space="preserve">NUMÉRO DE PROCÉDURE </w:t>
            </w:r>
          </w:p>
        </w:tc>
        <w:tc>
          <w:tcPr>
            <w:tcW w:w="3180" w:type="dxa"/>
            <w:tcMar>
              <w:top w:w="100" w:type="dxa"/>
              <w:left w:w="100" w:type="dxa"/>
              <w:bottom w:w="100" w:type="dxa"/>
              <w:right w:w="100" w:type="dxa"/>
            </w:tcMar>
          </w:tcPr>
          <w:p w14:paraId="386183D7" w14:textId="77777777" w:rsidR="006A0CC3" w:rsidRDefault="00743C78">
            <w:pPr>
              <w:widowControl w:val="0"/>
              <w:spacing w:line="240" w:lineRule="auto"/>
              <w:jc w:val="center"/>
              <w:rPr>
                <w:rFonts w:ascii="Calibri" w:eastAsia="Calibri" w:hAnsi="Calibri" w:cs="Calibri"/>
                <w:b/>
                <w:bCs/>
              </w:rPr>
            </w:pPr>
            <w:r>
              <w:rPr>
                <w:rFonts w:ascii="Calibri" w:eastAsia="Calibri" w:hAnsi="Calibri" w:cs="Calibri"/>
                <w:b/>
                <w:bCs/>
              </w:rPr>
              <w:t>ÉTAPES DE LA PROCÉDURE</w:t>
            </w:r>
          </w:p>
        </w:tc>
        <w:tc>
          <w:tcPr>
            <w:tcW w:w="4530" w:type="dxa"/>
            <w:tcMar>
              <w:top w:w="100" w:type="dxa"/>
              <w:left w:w="100" w:type="dxa"/>
              <w:bottom w:w="100" w:type="dxa"/>
              <w:right w:w="100" w:type="dxa"/>
            </w:tcMar>
          </w:tcPr>
          <w:p w14:paraId="100BA7AD" w14:textId="77777777" w:rsidR="006A0CC3" w:rsidRDefault="00743C78">
            <w:pPr>
              <w:widowControl w:val="0"/>
              <w:spacing w:line="240" w:lineRule="auto"/>
              <w:ind w:left="720"/>
              <w:jc w:val="center"/>
              <w:rPr>
                <w:rFonts w:ascii="Calibri" w:eastAsia="Calibri" w:hAnsi="Calibri" w:cs="Calibri"/>
                <w:b/>
                <w:bCs/>
              </w:rPr>
            </w:pPr>
            <w:r>
              <w:rPr>
                <w:rFonts w:ascii="Calibri" w:eastAsia="Calibri" w:hAnsi="Calibri" w:cs="Calibri"/>
                <w:b/>
                <w:bCs/>
              </w:rPr>
              <w:t xml:space="preserve">DESCRIPTION </w:t>
            </w:r>
          </w:p>
        </w:tc>
      </w:tr>
      <w:tr w:rsidR="006A0CC3" w14:paraId="3FED8381" w14:textId="77777777">
        <w:tc>
          <w:tcPr>
            <w:tcW w:w="1650" w:type="dxa"/>
            <w:tcMar>
              <w:top w:w="100" w:type="dxa"/>
              <w:left w:w="100" w:type="dxa"/>
              <w:bottom w:w="100" w:type="dxa"/>
              <w:right w:w="100" w:type="dxa"/>
            </w:tcMar>
          </w:tcPr>
          <w:p w14:paraId="7E97D4BD" w14:textId="77777777" w:rsidR="006A0CC3" w:rsidRDefault="00743C78">
            <w:pPr>
              <w:widowControl w:val="0"/>
              <w:spacing w:line="240" w:lineRule="auto"/>
              <w:rPr>
                <w:rFonts w:ascii="Calibri" w:eastAsia="Calibri" w:hAnsi="Calibri" w:cs="Calibri"/>
              </w:rPr>
            </w:pPr>
            <w:r>
              <w:rPr>
                <w:rFonts w:ascii="Calibri" w:eastAsia="Calibri" w:hAnsi="Calibri" w:cs="Calibri"/>
              </w:rPr>
              <w:t>1</w:t>
            </w:r>
          </w:p>
        </w:tc>
        <w:tc>
          <w:tcPr>
            <w:tcW w:w="3180" w:type="dxa"/>
            <w:tcMar>
              <w:top w:w="100" w:type="dxa"/>
              <w:left w:w="100" w:type="dxa"/>
              <w:bottom w:w="100" w:type="dxa"/>
              <w:right w:w="100" w:type="dxa"/>
            </w:tcMar>
          </w:tcPr>
          <w:p w14:paraId="21C944E2" w14:textId="77777777" w:rsidR="006A0CC3" w:rsidRDefault="00743C78">
            <w:pPr>
              <w:widowControl w:val="0"/>
              <w:spacing w:line="240" w:lineRule="auto"/>
              <w:rPr>
                <w:rFonts w:ascii="Calibri" w:eastAsia="Calibri" w:hAnsi="Calibri" w:cs="Calibri"/>
              </w:rPr>
            </w:pPr>
            <w:r>
              <w:rPr>
                <w:rFonts w:ascii="Calibri" w:eastAsia="Calibri" w:hAnsi="Calibri" w:cs="Calibri"/>
              </w:rPr>
              <w:t>Connexion</w:t>
            </w:r>
          </w:p>
        </w:tc>
        <w:tc>
          <w:tcPr>
            <w:tcW w:w="4530" w:type="dxa"/>
            <w:tcMar>
              <w:top w:w="100" w:type="dxa"/>
              <w:left w:w="100" w:type="dxa"/>
              <w:bottom w:w="100" w:type="dxa"/>
              <w:right w:w="100" w:type="dxa"/>
            </w:tcMar>
          </w:tcPr>
          <w:p w14:paraId="41644D12"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L’utilisateur se connecte au système de gestion de l’information (SGI) utilisé pour la gestion des stocks de MII. </w:t>
            </w:r>
          </w:p>
        </w:tc>
      </w:tr>
      <w:tr w:rsidR="006A0CC3" w14:paraId="30D331AA" w14:textId="77777777">
        <w:tc>
          <w:tcPr>
            <w:tcW w:w="1650" w:type="dxa"/>
            <w:tcMar>
              <w:top w:w="100" w:type="dxa"/>
              <w:left w:w="100" w:type="dxa"/>
              <w:bottom w:w="100" w:type="dxa"/>
              <w:right w:w="100" w:type="dxa"/>
            </w:tcMar>
          </w:tcPr>
          <w:p w14:paraId="15DACF25" w14:textId="77777777" w:rsidR="006A0CC3" w:rsidRDefault="00743C78">
            <w:pPr>
              <w:widowControl w:val="0"/>
              <w:spacing w:line="240" w:lineRule="auto"/>
              <w:rPr>
                <w:rFonts w:ascii="Calibri" w:eastAsia="Calibri" w:hAnsi="Calibri" w:cs="Calibri"/>
              </w:rPr>
            </w:pPr>
            <w:r>
              <w:rPr>
                <w:rFonts w:ascii="Calibri" w:eastAsia="Calibri" w:hAnsi="Calibri" w:cs="Calibri"/>
              </w:rPr>
              <w:t>2</w:t>
            </w:r>
          </w:p>
        </w:tc>
        <w:tc>
          <w:tcPr>
            <w:tcW w:w="3180" w:type="dxa"/>
            <w:tcMar>
              <w:top w:w="100" w:type="dxa"/>
              <w:left w:w="100" w:type="dxa"/>
              <w:bottom w:w="100" w:type="dxa"/>
              <w:right w:w="100" w:type="dxa"/>
            </w:tcMar>
          </w:tcPr>
          <w:p w14:paraId="06498BC5" w14:textId="77777777" w:rsidR="006A0CC3" w:rsidRDefault="00743C78">
            <w:pPr>
              <w:widowControl w:val="0"/>
              <w:spacing w:line="240" w:lineRule="auto"/>
              <w:rPr>
                <w:rFonts w:ascii="Calibri" w:eastAsia="Calibri" w:hAnsi="Calibri" w:cs="Calibri"/>
              </w:rPr>
            </w:pPr>
            <w:r>
              <w:rPr>
                <w:rFonts w:ascii="Calibri" w:eastAsia="Calibri" w:hAnsi="Calibri" w:cs="Calibri"/>
              </w:rPr>
              <w:t>Authentification</w:t>
            </w:r>
          </w:p>
        </w:tc>
        <w:tc>
          <w:tcPr>
            <w:tcW w:w="4530" w:type="dxa"/>
            <w:tcMar>
              <w:top w:w="100" w:type="dxa"/>
              <w:left w:w="100" w:type="dxa"/>
              <w:bottom w:w="100" w:type="dxa"/>
              <w:right w:w="100" w:type="dxa"/>
            </w:tcMar>
          </w:tcPr>
          <w:p w14:paraId="4E83C96D"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Informations d’identification de l’utilisateur confirmées/rejetées. Les droits/privilèges des utilisateurs doivent être préconfigurés. </w:t>
            </w:r>
          </w:p>
        </w:tc>
      </w:tr>
      <w:tr w:rsidR="006A0CC3" w14:paraId="5A7A5CA4" w14:textId="77777777">
        <w:tc>
          <w:tcPr>
            <w:tcW w:w="1650" w:type="dxa"/>
            <w:tcMar>
              <w:top w:w="100" w:type="dxa"/>
              <w:left w:w="100" w:type="dxa"/>
              <w:bottom w:w="100" w:type="dxa"/>
              <w:right w:w="100" w:type="dxa"/>
            </w:tcMar>
          </w:tcPr>
          <w:p w14:paraId="31252325" w14:textId="77777777" w:rsidR="006A0CC3" w:rsidRDefault="00743C78">
            <w:pPr>
              <w:widowControl w:val="0"/>
              <w:spacing w:line="240" w:lineRule="auto"/>
              <w:rPr>
                <w:rFonts w:ascii="Calibri" w:eastAsia="Calibri" w:hAnsi="Calibri" w:cs="Calibri"/>
              </w:rPr>
            </w:pPr>
            <w:r>
              <w:rPr>
                <w:rFonts w:ascii="Calibri" w:eastAsia="Calibri" w:hAnsi="Calibri" w:cs="Calibri"/>
              </w:rPr>
              <w:t>3</w:t>
            </w:r>
          </w:p>
        </w:tc>
        <w:tc>
          <w:tcPr>
            <w:tcW w:w="3180" w:type="dxa"/>
            <w:tcMar>
              <w:top w:w="100" w:type="dxa"/>
              <w:left w:w="100" w:type="dxa"/>
              <w:bottom w:w="100" w:type="dxa"/>
              <w:right w:w="100" w:type="dxa"/>
            </w:tcMar>
          </w:tcPr>
          <w:p w14:paraId="78C21ADB" w14:textId="77777777" w:rsidR="006A0CC3" w:rsidRDefault="00743C78">
            <w:pPr>
              <w:widowControl w:val="0"/>
              <w:spacing w:line="240" w:lineRule="auto"/>
              <w:rPr>
                <w:rFonts w:ascii="Calibri" w:eastAsia="Calibri" w:hAnsi="Calibri" w:cs="Calibri"/>
              </w:rPr>
            </w:pPr>
            <w:r>
              <w:rPr>
                <w:rFonts w:ascii="Calibri" w:eastAsia="Calibri" w:hAnsi="Calibri" w:cs="Calibri"/>
              </w:rPr>
              <w:t>Accéder au module « Shipping » (« Expédition »)</w:t>
            </w:r>
          </w:p>
          <w:p w14:paraId="498D2A49" w14:textId="77777777" w:rsidR="006A0CC3" w:rsidRDefault="006A0CC3">
            <w:pPr>
              <w:widowControl w:val="0"/>
              <w:spacing w:line="240" w:lineRule="auto"/>
              <w:rPr>
                <w:rFonts w:ascii="Calibri" w:eastAsia="Calibri" w:hAnsi="Calibri" w:cs="Calibri"/>
              </w:rPr>
            </w:pPr>
          </w:p>
          <w:p w14:paraId="479C0D8F" w14:textId="77777777" w:rsidR="006A0CC3" w:rsidRDefault="00743C78">
            <w:pPr>
              <w:widowControl w:val="0"/>
              <w:spacing w:line="240" w:lineRule="auto"/>
              <w:rPr>
                <w:rFonts w:ascii="Calibri" w:eastAsia="Calibri" w:hAnsi="Calibri" w:cs="Calibri"/>
              </w:rPr>
            </w:pPr>
            <w:r>
              <w:rPr>
                <w:rFonts w:ascii="Calibri" w:eastAsia="Calibri" w:hAnsi="Calibri" w:cs="Calibri"/>
              </w:rPr>
              <w:t>Sélectionner la référence de la cargaison</w:t>
            </w:r>
          </w:p>
        </w:tc>
        <w:tc>
          <w:tcPr>
            <w:tcW w:w="4530" w:type="dxa"/>
            <w:tcMar>
              <w:top w:w="100" w:type="dxa"/>
              <w:left w:w="100" w:type="dxa"/>
              <w:bottom w:w="100" w:type="dxa"/>
              <w:right w:w="100" w:type="dxa"/>
            </w:tcMar>
          </w:tcPr>
          <w:p w14:paraId="48C0F506" w14:textId="77777777" w:rsidR="006A0CC3" w:rsidRDefault="00743C78">
            <w:pPr>
              <w:widowControl w:val="0"/>
              <w:numPr>
                <w:ilvl w:val="0"/>
                <w:numId w:val="9"/>
              </w:numPr>
              <w:spacing w:line="240" w:lineRule="auto"/>
              <w:rPr>
                <w:rFonts w:ascii="Calibri" w:eastAsia="Calibri" w:hAnsi="Calibri" w:cs="Calibri"/>
              </w:rPr>
            </w:pPr>
            <w:r>
              <w:rPr>
                <w:rFonts w:ascii="Calibri" w:eastAsia="Calibri" w:hAnsi="Calibri" w:cs="Calibri"/>
              </w:rPr>
              <w:t>L’utilisateur accède à l’option « Assemble shipment » («</w:t>
            </w:r>
            <w:sdt>
              <w:sdtPr>
                <w:tag w:val="goog_rdk_11"/>
                <w:id w:val="103885533"/>
              </w:sdtPr>
              <w:sdtEndPr/>
              <w:sdtContent/>
            </w:sdt>
            <w:sdt>
              <w:sdtPr>
                <w:tag w:val="goog_rdk_12"/>
                <w:id w:val="-1049671302"/>
              </w:sdtPr>
              <w:sdtEndPr/>
              <w:sdtContent/>
            </w:sdt>
            <w:sdt>
              <w:sdtPr>
                <w:tag w:val="goog_rdk_13"/>
                <w:id w:val="754619316"/>
              </w:sdtPr>
              <w:sdtEndPr/>
              <w:sdtContent/>
            </w:sdt>
            <w:r>
              <w:rPr>
                <w:rFonts w:ascii="Calibri" w:eastAsia="Calibri" w:hAnsi="Calibri" w:cs="Calibri"/>
              </w:rPr>
              <w:t> </w:t>
            </w:r>
            <w:r w:rsidR="009A2242">
              <w:rPr>
                <w:rFonts w:ascii="Calibri" w:eastAsia="Calibri" w:hAnsi="Calibri" w:cs="Calibri"/>
              </w:rPr>
              <w:t>Assembler</w:t>
            </w:r>
            <w:r>
              <w:rPr>
                <w:rFonts w:ascii="Calibri" w:eastAsia="Calibri" w:hAnsi="Calibri" w:cs="Calibri"/>
              </w:rPr>
              <w:t xml:space="preserve"> la cargaison ») du SGI</w:t>
            </w:r>
          </w:p>
          <w:p w14:paraId="2D84CB5C" w14:textId="77777777" w:rsidR="006A0CC3" w:rsidRDefault="00743C78">
            <w:pPr>
              <w:widowControl w:val="0"/>
              <w:numPr>
                <w:ilvl w:val="0"/>
                <w:numId w:val="9"/>
              </w:numPr>
              <w:spacing w:line="240" w:lineRule="auto"/>
              <w:rPr>
                <w:rFonts w:ascii="Calibri" w:eastAsia="Calibri" w:hAnsi="Calibri" w:cs="Calibri"/>
              </w:rPr>
            </w:pPr>
            <w:r>
              <w:rPr>
                <w:rFonts w:ascii="Calibri" w:eastAsia="Calibri" w:hAnsi="Calibri" w:cs="Calibri"/>
              </w:rPr>
              <w:t xml:space="preserve">L’utilisateur sélectionne une référence de cargaison à grouper à partir d’une liste préremplie de cargaisons en attente </w:t>
            </w:r>
            <w:r w:rsidR="009A2242">
              <w:rPr>
                <w:rFonts w:ascii="Calibri" w:eastAsia="Calibri" w:hAnsi="Calibri" w:cs="Calibri"/>
              </w:rPr>
              <w:t>d’assemblage</w:t>
            </w:r>
          </w:p>
        </w:tc>
      </w:tr>
      <w:tr w:rsidR="006A0CC3" w14:paraId="6B78F539" w14:textId="77777777">
        <w:tc>
          <w:tcPr>
            <w:tcW w:w="1650" w:type="dxa"/>
            <w:tcMar>
              <w:top w:w="100" w:type="dxa"/>
              <w:left w:w="100" w:type="dxa"/>
              <w:bottom w:w="100" w:type="dxa"/>
              <w:right w:w="100" w:type="dxa"/>
            </w:tcMar>
          </w:tcPr>
          <w:p w14:paraId="2340DFB7" w14:textId="77777777" w:rsidR="006A0CC3" w:rsidRDefault="00743C78">
            <w:pPr>
              <w:widowControl w:val="0"/>
              <w:spacing w:line="240" w:lineRule="auto"/>
              <w:rPr>
                <w:rFonts w:ascii="Calibri" w:eastAsia="Calibri" w:hAnsi="Calibri" w:cs="Calibri"/>
              </w:rPr>
            </w:pPr>
            <w:r>
              <w:rPr>
                <w:rFonts w:ascii="Calibri" w:eastAsia="Calibri" w:hAnsi="Calibri" w:cs="Calibri"/>
              </w:rPr>
              <w:t>4</w:t>
            </w:r>
          </w:p>
        </w:tc>
        <w:tc>
          <w:tcPr>
            <w:tcW w:w="3180" w:type="dxa"/>
            <w:tcMar>
              <w:top w:w="100" w:type="dxa"/>
              <w:left w:w="100" w:type="dxa"/>
              <w:bottom w:w="100" w:type="dxa"/>
              <w:right w:w="100" w:type="dxa"/>
            </w:tcMar>
          </w:tcPr>
          <w:p w14:paraId="0AD324AF" w14:textId="77777777" w:rsidR="006A0CC3" w:rsidRDefault="00743C78">
            <w:pPr>
              <w:widowControl w:val="0"/>
              <w:spacing w:line="240" w:lineRule="auto"/>
              <w:rPr>
                <w:rFonts w:ascii="Calibri" w:eastAsia="Calibri" w:hAnsi="Calibri" w:cs="Calibri"/>
              </w:rPr>
            </w:pPr>
            <w:r>
              <w:rPr>
                <w:rFonts w:ascii="Calibri" w:eastAsia="Calibri" w:hAnsi="Calibri" w:cs="Calibri"/>
              </w:rPr>
              <w:t>Affichage du contenu de la cargaison</w:t>
            </w:r>
          </w:p>
        </w:tc>
        <w:tc>
          <w:tcPr>
            <w:tcW w:w="4530" w:type="dxa"/>
            <w:tcMar>
              <w:top w:w="100" w:type="dxa"/>
              <w:left w:w="100" w:type="dxa"/>
              <w:bottom w:w="100" w:type="dxa"/>
              <w:right w:w="100" w:type="dxa"/>
            </w:tcMar>
          </w:tcPr>
          <w:p w14:paraId="6132FFB3" w14:textId="77777777" w:rsidR="006A0CC3" w:rsidRDefault="00743C78">
            <w:pPr>
              <w:widowControl w:val="0"/>
              <w:spacing w:line="240" w:lineRule="auto"/>
              <w:rPr>
                <w:rFonts w:ascii="Calibri" w:eastAsia="Calibri" w:hAnsi="Calibri" w:cs="Calibri"/>
              </w:rPr>
            </w:pPr>
            <w:r>
              <w:rPr>
                <w:rFonts w:ascii="Calibri" w:eastAsia="Calibri" w:hAnsi="Calibri" w:cs="Calibri"/>
              </w:rPr>
              <w:t>Le SGI récupère les lignes de la cargaison ouvertes disponibles pour être regroupées et affiche :</w:t>
            </w:r>
          </w:p>
          <w:p w14:paraId="7C8863B8"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Le fournisseur/l’origine</w:t>
            </w:r>
          </w:p>
          <w:p w14:paraId="1766870D"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L’expéditeur/le transporteur</w:t>
            </w:r>
          </w:p>
          <w:p w14:paraId="5357C547"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La référence de la cargaison</w:t>
            </w:r>
          </w:p>
          <w:p w14:paraId="6938208A"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L’article</w:t>
            </w:r>
          </w:p>
          <w:p w14:paraId="29452F9E"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La quantité expédiée</w:t>
            </w:r>
          </w:p>
          <w:p w14:paraId="5E407FF0" w14:textId="77777777" w:rsidR="006A0CC3" w:rsidRDefault="00743C78">
            <w:pPr>
              <w:widowControl w:val="0"/>
              <w:numPr>
                <w:ilvl w:val="0"/>
                <w:numId w:val="10"/>
              </w:numPr>
              <w:spacing w:line="240" w:lineRule="auto"/>
              <w:rPr>
                <w:rFonts w:ascii="Calibri" w:eastAsia="Calibri" w:hAnsi="Calibri" w:cs="Calibri"/>
              </w:rPr>
            </w:pPr>
            <w:r>
              <w:rPr>
                <w:rFonts w:ascii="Calibri" w:eastAsia="Calibri" w:hAnsi="Calibri" w:cs="Calibri"/>
              </w:rPr>
              <w:t>L’unité de mesure</w:t>
            </w:r>
          </w:p>
        </w:tc>
      </w:tr>
      <w:tr w:rsidR="006A0CC3" w14:paraId="6271AF90" w14:textId="77777777">
        <w:tc>
          <w:tcPr>
            <w:tcW w:w="1650" w:type="dxa"/>
            <w:tcMar>
              <w:top w:w="100" w:type="dxa"/>
              <w:left w:w="100" w:type="dxa"/>
              <w:bottom w:w="100" w:type="dxa"/>
              <w:right w:w="100" w:type="dxa"/>
            </w:tcMar>
          </w:tcPr>
          <w:p w14:paraId="1A648026" w14:textId="77777777" w:rsidR="006A0CC3" w:rsidRDefault="00743C78">
            <w:pPr>
              <w:widowControl w:val="0"/>
              <w:spacing w:line="240" w:lineRule="auto"/>
              <w:rPr>
                <w:rFonts w:ascii="Calibri" w:eastAsia="Calibri" w:hAnsi="Calibri" w:cs="Calibri"/>
              </w:rPr>
            </w:pPr>
            <w:r>
              <w:rPr>
                <w:rFonts w:ascii="Calibri" w:eastAsia="Calibri" w:hAnsi="Calibri" w:cs="Calibri"/>
              </w:rPr>
              <w:t>5</w:t>
            </w:r>
          </w:p>
        </w:tc>
        <w:tc>
          <w:tcPr>
            <w:tcW w:w="3180" w:type="dxa"/>
            <w:tcMar>
              <w:top w:w="100" w:type="dxa"/>
              <w:left w:w="100" w:type="dxa"/>
              <w:bottom w:w="100" w:type="dxa"/>
              <w:right w:w="100" w:type="dxa"/>
            </w:tcMar>
          </w:tcPr>
          <w:p w14:paraId="1C94EFC6" w14:textId="77777777" w:rsidR="006A0CC3" w:rsidRDefault="00743C78">
            <w:pPr>
              <w:widowControl w:val="0"/>
              <w:spacing w:line="240" w:lineRule="auto"/>
              <w:rPr>
                <w:rFonts w:ascii="Calibri" w:eastAsia="Calibri" w:hAnsi="Calibri" w:cs="Calibri"/>
              </w:rPr>
            </w:pPr>
            <w:r>
              <w:rPr>
                <w:rFonts w:ascii="Calibri" w:eastAsia="Calibri" w:hAnsi="Calibri" w:cs="Calibri"/>
              </w:rPr>
              <w:t>Scanner le numéro séquentiel de colis (SSCC)</w:t>
            </w:r>
          </w:p>
        </w:tc>
        <w:tc>
          <w:tcPr>
            <w:tcW w:w="4530" w:type="dxa"/>
            <w:tcMar>
              <w:top w:w="100" w:type="dxa"/>
              <w:left w:w="100" w:type="dxa"/>
              <w:bottom w:w="100" w:type="dxa"/>
              <w:right w:w="100" w:type="dxa"/>
            </w:tcMar>
          </w:tcPr>
          <w:p w14:paraId="18BF3ABA" w14:textId="77777777" w:rsidR="006A0CC3" w:rsidRDefault="00743C78">
            <w:pPr>
              <w:widowControl w:val="0"/>
              <w:numPr>
                <w:ilvl w:val="0"/>
                <w:numId w:val="20"/>
              </w:numPr>
              <w:spacing w:line="240" w:lineRule="auto"/>
              <w:rPr>
                <w:rFonts w:ascii="Calibri" w:eastAsia="Calibri" w:hAnsi="Calibri" w:cs="Calibri"/>
              </w:rPr>
            </w:pPr>
            <w:r>
              <w:rPr>
                <w:rFonts w:ascii="Calibri" w:eastAsia="Calibri" w:hAnsi="Calibri" w:cs="Calibri"/>
              </w:rPr>
              <w:t>L’utilisateur scanne le SSCC d’une balle</w:t>
            </w:r>
          </w:p>
          <w:p w14:paraId="7B3CA318" w14:textId="77777777" w:rsidR="006A0CC3" w:rsidRDefault="00743C78">
            <w:pPr>
              <w:widowControl w:val="0"/>
              <w:numPr>
                <w:ilvl w:val="0"/>
                <w:numId w:val="20"/>
              </w:numPr>
              <w:spacing w:line="240" w:lineRule="auto"/>
              <w:rPr>
                <w:rFonts w:ascii="Calibri" w:eastAsia="Calibri" w:hAnsi="Calibri" w:cs="Calibri"/>
              </w:rPr>
            </w:pPr>
            <w:r>
              <w:rPr>
                <w:rFonts w:ascii="Calibri" w:eastAsia="Calibri" w:hAnsi="Calibri" w:cs="Calibri"/>
              </w:rPr>
              <w:t>Le SGI vérifie les données saisies par rapport à l’enregistrement du SGI concernant les SSCC dans le stock interne</w:t>
            </w:r>
          </w:p>
          <w:p w14:paraId="6049D264" w14:textId="77777777" w:rsidR="006A0CC3" w:rsidRDefault="00743C78">
            <w:pPr>
              <w:widowControl w:val="0"/>
              <w:numPr>
                <w:ilvl w:val="0"/>
                <w:numId w:val="20"/>
              </w:numPr>
              <w:spacing w:line="240" w:lineRule="auto"/>
              <w:rPr>
                <w:rFonts w:ascii="Calibri" w:eastAsia="Calibri" w:hAnsi="Calibri" w:cs="Calibri"/>
              </w:rPr>
            </w:pPr>
            <w:r>
              <w:rPr>
                <w:rFonts w:ascii="Calibri" w:eastAsia="Calibri" w:hAnsi="Calibri" w:cs="Calibri"/>
              </w:rPr>
              <w:t>Si le SSCC sur la balle concorde avec le SSCC dans le SGI, l’utilisateur passe à la procédure 6.</w:t>
            </w:r>
          </w:p>
          <w:p w14:paraId="0B193E24" w14:textId="77777777" w:rsidR="006A0CC3" w:rsidRDefault="00743C78">
            <w:pPr>
              <w:widowControl w:val="0"/>
              <w:numPr>
                <w:ilvl w:val="0"/>
                <w:numId w:val="20"/>
              </w:numPr>
              <w:spacing w:line="240" w:lineRule="auto"/>
              <w:rPr>
                <w:rFonts w:ascii="Calibri" w:eastAsia="Calibri" w:hAnsi="Calibri" w:cs="Calibri"/>
              </w:rPr>
            </w:pPr>
            <w:r>
              <w:rPr>
                <w:rFonts w:ascii="Calibri" w:eastAsia="Calibri" w:hAnsi="Calibri" w:cs="Calibri"/>
              </w:rPr>
              <w:t xml:space="preserve">S’il n’y a pas de concordance, voir : </w:t>
            </w:r>
            <w:r>
              <w:rPr>
                <w:rFonts w:ascii="Calibri" w:eastAsia="Calibri" w:hAnsi="Calibri" w:cs="Calibri"/>
                <w:b/>
                <w:bCs/>
              </w:rPr>
              <w:t xml:space="preserve">PROCÉDURES DE RAPPROCHEMENT DES ÉCARTS DE DÉSAGRÉGATION DES BALLES DE MII </w:t>
            </w:r>
            <w:r>
              <w:rPr>
                <w:rFonts w:ascii="Calibri" w:eastAsia="Calibri" w:hAnsi="Calibri" w:cs="Calibri"/>
              </w:rPr>
              <w:t>(annexe)</w:t>
            </w:r>
          </w:p>
        </w:tc>
      </w:tr>
      <w:tr w:rsidR="006A0CC3" w14:paraId="08FD5D2C" w14:textId="77777777">
        <w:trPr>
          <w:trHeight w:val="20"/>
        </w:trPr>
        <w:tc>
          <w:tcPr>
            <w:tcW w:w="1650" w:type="dxa"/>
            <w:tcMar>
              <w:top w:w="100" w:type="dxa"/>
              <w:left w:w="100" w:type="dxa"/>
              <w:bottom w:w="100" w:type="dxa"/>
              <w:right w:w="100" w:type="dxa"/>
            </w:tcMar>
          </w:tcPr>
          <w:p w14:paraId="3E6901E7" w14:textId="77777777" w:rsidR="006A0CC3" w:rsidRDefault="00743C78">
            <w:pPr>
              <w:widowControl w:val="0"/>
              <w:spacing w:line="240" w:lineRule="auto"/>
              <w:rPr>
                <w:rFonts w:ascii="Calibri" w:eastAsia="Calibri" w:hAnsi="Calibri" w:cs="Calibri"/>
              </w:rPr>
            </w:pPr>
            <w:r>
              <w:rPr>
                <w:rFonts w:ascii="Calibri" w:eastAsia="Calibri" w:hAnsi="Calibri" w:cs="Calibri"/>
              </w:rPr>
              <w:t>6</w:t>
            </w:r>
          </w:p>
        </w:tc>
        <w:tc>
          <w:tcPr>
            <w:tcW w:w="3180" w:type="dxa"/>
            <w:tcMar>
              <w:top w:w="100" w:type="dxa"/>
              <w:left w:w="100" w:type="dxa"/>
              <w:bottom w:w="100" w:type="dxa"/>
              <w:right w:w="100" w:type="dxa"/>
            </w:tcMar>
          </w:tcPr>
          <w:p w14:paraId="5D7AC58C" w14:textId="77777777" w:rsidR="006A0CC3" w:rsidRDefault="00743C78">
            <w:pPr>
              <w:widowControl w:val="0"/>
              <w:numPr>
                <w:ilvl w:val="0"/>
                <w:numId w:val="11"/>
              </w:numPr>
              <w:spacing w:line="240" w:lineRule="auto"/>
              <w:rPr>
                <w:rFonts w:ascii="Calibri" w:eastAsia="Calibri" w:hAnsi="Calibri" w:cs="Calibri"/>
              </w:rPr>
            </w:pPr>
            <w:r>
              <w:rPr>
                <w:rFonts w:ascii="Calibri" w:eastAsia="Calibri" w:hAnsi="Calibri" w:cs="Calibri"/>
              </w:rPr>
              <w:t>Enregistrement du lot</w:t>
            </w:r>
          </w:p>
          <w:p w14:paraId="49F96267" w14:textId="77777777" w:rsidR="006A0CC3" w:rsidRDefault="00743C78">
            <w:pPr>
              <w:widowControl w:val="0"/>
              <w:numPr>
                <w:ilvl w:val="0"/>
                <w:numId w:val="11"/>
              </w:numPr>
              <w:spacing w:line="240" w:lineRule="auto"/>
              <w:rPr>
                <w:rFonts w:ascii="Calibri" w:eastAsia="Calibri" w:hAnsi="Calibri" w:cs="Calibri"/>
              </w:rPr>
            </w:pPr>
            <w:r>
              <w:rPr>
                <w:rFonts w:ascii="Calibri" w:eastAsia="Calibri" w:hAnsi="Calibri" w:cs="Calibri"/>
              </w:rPr>
              <w:t>Enregistrement de la date de production</w:t>
            </w:r>
          </w:p>
          <w:p w14:paraId="7F40DB63" w14:textId="77777777" w:rsidR="006A0CC3" w:rsidRDefault="00743C78">
            <w:pPr>
              <w:widowControl w:val="0"/>
              <w:numPr>
                <w:ilvl w:val="0"/>
                <w:numId w:val="11"/>
              </w:numPr>
              <w:spacing w:line="240" w:lineRule="auto"/>
              <w:rPr>
                <w:rFonts w:ascii="Calibri" w:eastAsia="Calibri" w:hAnsi="Calibri" w:cs="Calibri"/>
              </w:rPr>
            </w:pPr>
            <w:r>
              <w:rPr>
                <w:rFonts w:ascii="Calibri" w:eastAsia="Calibri" w:hAnsi="Calibri" w:cs="Calibri"/>
              </w:rPr>
              <w:t>Enregistrement de la quantité</w:t>
            </w:r>
          </w:p>
          <w:p w14:paraId="762D5A3A" w14:textId="77777777" w:rsidR="006A0CC3" w:rsidRDefault="00743C78">
            <w:pPr>
              <w:widowControl w:val="0"/>
              <w:numPr>
                <w:ilvl w:val="0"/>
                <w:numId w:val="11"/>
              </w:numPr>
              <w:spacing w:line="240" w:lineRule="auto"/>
              <w:rPr>
                <w:rFonts w:ascii="Calibri" w:eastAsia="Calibri" w:hAnsi="Calibri" w:cs="Calibri"/>
              </w:rPr>
            </w:pPr>
            <w:r>
              <w:rPr>
                <w:rFonts w:ascii="Calibri" w:eastAsia="Calibri" w:hAnsi="Calibri" w:cs="Calibri"/>
              </w:rPr>
              <w:t>Continuer jusqu’à l’invite « Assemble shipment » (« </w:t>
            </w:r>
            <w:sdt>
              <w:sdtPr>
                <w:tag w:val="goog_rdk_16"/>
                <w:id w:val="1076675606"/>
              </w:sdtPr>
              <w:sdtEndPr/>
              <w:sdtContent/>
            </w:sdt>
            <w:r w:rsidR="009A2242">
              <w:rPr>
                <w:rFonts w:ascii="Calibri" w:eastAsia="Calibri" w:hAnsi="Calibri" w:cs="Calibri"/>
              </w:rPr>
              <w:t>Assembl</w:t>
            </w:r>
            <w:r>
              <w:rPr>
                <w:rFonts w:ascii="Calibri" w:eastAsia="Calibri" w:hAnsi="Calibri" w:cs="Calibri"/>
              </w:rPr>
              <w:t>er la cargaison »)</w:t>
            </w:r>
          </w:p>
        </w:tc>
        <w:tc>
          <w:tcPr>
            <w:tcW w:w="4530" w:type="dxa"/>
            <w:tcMar>
              <w:top w:w="100" w:type="dxa"/>
              <w:left w:w="100" w:type="dxa"/>
              <w:bottom w:w="100" w:type="dxa"/>
              <w:right w:w="100" w:type="dxa"/>
            </w:tcMar>
          </w:tcPr>
          <w:p w14:paraId="44EB4740"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L’enregistrement de la cargaison est automatiquement rempli avec le contenu de la balle de MII uniques grâce à l’association préalable faite entre le SSCC et son contenu au cours de la procédure de réception</w:t>
            </w:r>
          </w:p>
          <w:p w14:paraId="1119368C"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Le stock est réduit de « 1 » unité logistique</w:t>
            </w:r>
          </w:p>
          <w:p w14:paraId="0F4E599A" w14:textId="77777777" w:rsidR="006A0CC3" w:rsidRDefault="00743C78">
            <w:pPr>
              <w:widowControl w:val="0"/>
              <w:numPr>
                <w:ilvl w:val="0"/>
                <w:numId w:val="16"/>
              </w:numPr>
              <w:spacing w:line="240" w:lineRule="auto"/>
              <w:rPr>
                <w:rFonts w:ascii="Calibri" w:eastAsia="Calibri" w:hAnsi="Calibri" w:cs="Calibri"/>
              </w:rPr>
            </w:pPr>
            <w:r>
              <w:rPr>
                <w:rFonts w:ascii="Calibri" w:eastAsia="Calibri" w:hAnsi="Calibri" w:cs="Calibri"/>
              </w:rPr>
              <w:t>Le nombre de SSCC uniques scannés à ce stade concorde-t-il avec le nombre d’unités logistiques préautorisées à être expédiées ?</w:t>
            </w:r>
          </w:p>
          <w:p w14:paraId="4BD01A06" w14:textId="77777777" w:rsidR="006A0CC3" w:rsidRDefault="00743C78">
            <w:pPr>
              <w:widowControl w:val="0"/>
              <w:numPr>
                <w:ilvl w:val="1"/>
                <w:numId w:val="16"/>
              </w:numPr>
              <w:spacing w:line="240" w:lineRule="auto"/>
              <w:rPr>
                <w:rFonts w:ascii="Calibri" w:eastAsia="Calibri" w:hAnsi="Calibri" w:cs="Calibri"/>
              </w:rPr>
            </w:pPr>
            <w:r>
              <w:rPr>
                <w:rFonts w:ascii="Calibri" w:eastAsia="Calibri" w:hAnsi="Calibri" w:cs="Calibri"/>
              </w:rPr>
              <w:lastRenderedPageBreak/>
              <w:t>Non : L’utilisateur passe à la procédure 5</w:t>
            </w:r>
          </w:p>
          <w:p w14:paraId="0983310C" w14:textId="77777777" w:rsidR="006A0CC3" w:rsidRDefault="00743C78">
            <w:pPr>
              <w:widowControl w:val="0"/>
              <w:numPr>
                <w:ilvl w:val="1"/>
                <w:numId w:val="16"/>
              </w:numPr>
              <w:spacing w:line="240" w:lineRule="auto"/>
              <w:rPr>
                <w:rFonts w:ascii="Calibri" w:eastAsia="Calibri" w:hAnsi="Calibri" w:cs="Calibri"/>
              </w:rPr>
            </w:pPr>
            <w:r>
              <w:rPr>
                <w:rFonts w:ascii="Calibri" w:eastAsia="Calibri" w:hAnsi="Calibri" w:cs="Calibri"/>
              </w:rPr>
              <w:t>Oui : L’utilisateur passe à la procédure 7</w:t>
            </w:r>
          </w:p>
        </w:tc>
      </w:tr>
      <w:tr w:rsidR="006A0CC3" w14:paraId="1BC469B9" w14:textId="77777777">
        <w:tc>
          <w:tcPr>
            <w:tcW w:w="1650" w:type="dxa"/>
            <w:tcMar>
              <w:top w:w="100" w:type="dxa"/>
              <w:left w:w="100" w:type="dxa"/>
              <w:bottom w:w="100" w:type="dxa"/>
              <w:right w:w="100" w:type="dxa"/>
            </w:tcMar>
          </w:tcPr>
          <w:p w14:paraId="7AEC2338" w14:textId="77777777" w:rsidR="006A0CC3" w:rsidRDefault="00743C78">
            <w:pPr>
              <w:widowControl w:val="0"/>
              <w:spacing w:line="240" w:lineRule="auto"/>
              <w:rPr>
                <w:rFonts w:ascii="Calibri" w:eastAsia="Calibri" w:hAnsi="Calibri" w:cs="Calibri"/>
              </w:rPr>
            </w:pPr>
            <w:r>
              <w:rPr>
                <w:rFonts w:ascii="Calibri" w:eastAsia="Calibri" w:hAnsi="Calibri" w:cs="Calibri"/>
              </w:rPr>
              <w:lastRenderedPageBreak/>
              <w:t>7</w:t>
            </w:r>
          </w:p>
        </w:tc>
        <w:tc>
          <w:tcPr>
            <w:tcW w:w="3180" w:type="dxa"/>
            <w:tcMar>
              <w:top w:w="100" w:type="dxa"/>
              <w:left w:w="100" w:type="dxa"/>
              <w:bottom w:w="100" w:type="dxa"/>
              <w:right w:w="100" w:type="dxa"/>
            </w:tcMar>
          </w:tcPr>
          <w:p w14:paraId="50100B10" w14:textId="77777777" w:rsidR="006A0CC3" w:rsidRDefault="00743C78">
            <w:pPr>
              <w:widowControl w:val="0"/>
              <w:spacing w:line="240" w:lineRule="auto"/>
              <w:rPr>
                <w:rFonts w:ascii="Calibri" w:eastAsia="Calibri" w:hAnsi="Calibri" w:cs="Calibri"/>
              </w:rPr>
            </w:pPr>
            <w:r>
              <w:rPr>
                <w:rFonts w:ascii="Calibri" w:eastAsia="Calibri" w:hAnsi="Calibri" w:cs="Calibri"/>
              </w:rPr>
              <w:t xml:space="preserve">Clore </w:t>
            </w:r>
            <w:r w:rsidR="009A2242">
              <w:rPr>
                <w:rFonts w:ascii="Calibri" w:eastAsia="Calibri" w:hAnsi="Calibri" w:cs="Calibri"/>
              </w:rPr>
              <w:t>l’assemblage</w:t>
            </w:r>
            <w:r>
              <w:rPr>
                <w:rFonts w:ascii="Calibri" w:eastAsia="Calibri" w:hAnsi="Calibri" w:cs="Calibri"/>
              </w:rPr>
              <w:t xml:space="preserve"> de la cargaison</w:t>
            </w:r>
          </w:p>
        </w:tc>
        <w:tc>
          <w:tcPr>
            <w:tcW w:w="4530" w:type="dxa"/>
            <w:tcMar>
              <w:top w:w="100" w:type="dxa"/>
              <w:left w:w="100" w:type="dxa"/>
              <w:bottom w:w="100" w:type="dxa"/>
              <w:right w:w="100" w:type="dxa"/>
            </w:tcMar>
          </w:tcPr>
          <w:p w14:paraId="12853810" w14:textId="77777777" w:rsidR="006A0CC3" w:rsidRDefault="00743C78">
            <w:pPr>
              <w:widowControl w:val="0"/>
              <w:spacing w:line="240" w:lineRule="auto"/>
              <w:rPr>
                <w:rFonts w:ascii="Calibri" w:eastAsia="Calibri" w:hAnsi="Calibri" w:cs="Calibri"/>
              </w:rPr>
            </w:pPr>
            <w:r>
              <w:rPr>
                <w:rFonts w:ascii="Calibri" w:eastAsia="Calibri" w:hAnsi="Calibri" w:cs="Calibri"/>
              </w:rPr>
              <w:t>Lorsque le nombre de SSCC uniques scannés à ce stade concorde avec le nombre d’unités logistiques préautorisées à être expédiées, la procédure « Shipment assembly » (« </w:t>
            </w:r>
            <w:r w:rsidR="009A2242">
              <w:rPr>
                <w:rFonts w:ascii="Calibri" w:eastAsia="Calibri" w:hAnsi="Calibri" w:cs="Calibri"/>
              </w:rPr>
              <w:t>Assemblage</w:t>
            </w:r>
            <w:r>
              <w:rPr>
                <w:rFonts w:ascii="Calibri" w:eastAsia="Calibri" w:hAnsi="Calibri" w:cs="Calibri"/>
              </w:rPr>
              <w:t xml:space="preserve"> de la cargaison ») est close par le SGI.</w:t>
            </w:r>
          </w:p>
        </w:tc>
      </w:tr>
    </w:tbl>
    <w:p w14:paraId="5918A29E" w14:textId="77777777" w:rsidR="006A0CC3" w:rsidRDefault="006A0CC3">
      <w:pPr>
        <w:spacing w:line="240" w:lineRule="auto"/>
      </w:pPr>
    </w:p>
    <w:p w14:paraId="21235B05" w14:textId="77777777" w:rsidR="006A0CC3" w:rsidRDefault="006A0CC3">
      <w:pPr>
        <w:spacing w:line="240" w:lineRule="auto"/>
      </w:pPr>
    </w:p>
    <w:p w14:paraId="64679D90" w14:textId="77777777" w:rsidR="006A0CC3" w:rsidRDefault="006A0CC3">
      <w:pPr>
        <w:spacing w:line="240" w:lineRule="auto"/>
      </w:pPr>
    </w:p>
    <w:p w14:paraId="761499D7" w14:textId="77777777" w:rsidR="006A0CC3" w:rsidRDefault="00743C78">
      <w:pPr>
        <w:spacing w:line="240" w:lineRule="auto"/>
      </w:pPr>
      <w:r>
        <w:t>—------------------------------------------------------------------------------------------------------------------------</w:t>
      </w:r>
    </w:p>
    <w:p w14:paraId="0F5EC8F7" w14:textId="77777777" w:rsidR="006A0CC3" w:rsidRDefault="006A0CC3">
      <w:pPr>
        <w:spacing w:line="240" w:lineRule="auto"/>
      </w:pPr>
    </w:p>
    <w:p w14:paraId="425068F2" w14:textId="77777777" w:rsidR="006A0CC3" w:rsidRDefault="00743C78">
      <w:pPr>
        <w:spacing w:line="240" w:lineRule="auto"/>
        <w:rPr>
          <w:rFonts w:ascii="Calibri" w:eastAsia="Calibri" w:hAnsi="Calibri" w:cs="Calibri"/>
          <w:b/>
          <w:bCs/>
        </w:rPr>
      </w:pPr>
      <w:r>
        <w:rPr>
          <w:rFonts w:ascii="Calibri" w:eastAsia="Calibri" w:hAnsi="Calibri" w:cs="Calibri"/>
          <w:b/>
          <w:bCs/>
        </w:rPr>
        <w:t>4.</w:t>
      </w:r>
      <w:r>
        <w:rPr>
          <w:rFonts w:ascii="Calibri" w:eastAsia="Calibri" w:hAnsi="Calibri" w:cs="Calibri"/>
          <w:b/>
          <w:bCs/>
        </w:rPr>
        <w:tab/>
        <w:t>DÉSAGRÉGATION COMPLET DES BALLES DE MII ET DÉSACTIVATION DU NUMÉRO SÉQUENTIEL DE COLIS (SSCC)</w:t>
      </w:r>
    </w:p>
    <w:p w14:paraId="21D6F51E" w14:textId="77777777" w:rsidR="006A0CC3" w:rsidRDefault="006A0CC3">
      <w:pPr>
        <w:spacing w:line="240" w:lineRule="auto"/>
        <w:rPr>
          <w:rFonts w:ascii="Calibri" w:eastAsia="Calibri" w:hAnsi="Calibri" w:cs="Calibri"/>
        </w:rPr>
      </w:pPr>
    </w:p>
    <w:p w14:paraId="4E863446" w14:textId="77777777" w:rsidR="006A0CC3" w:rsidRDefault="00743C78">
      <w:pPr>
        <w:spacing w:line="240" w:lineRule="auto"/>
        <w:rPr>
          <w:rFonts w:ascii="Calibri" w:eastAsia="Calibri" w:hAnsi="Calibri" w:cs="Calibri"/>
        </w:rPr>
      </w:pPr>
      <w:r>
        <w:rPr>
          <w:rFonts w:ascii="Calibri" w:eastAsia="Calibri" w:hAnsi="Calibri" w:cs="Calibri"/>
          <w:b/>
          <w:bCs/>
        </w:rPr>
        <w:t>Usage :</w:t>
      </w:r>
      <w:r>
        <w:rPr>
          <w:rFonts w:ascii="Calibri" w:eastAsia="Calibri" w:hAnsi="Calibri" w:cs="Calibri"/>
        </w:rPr>
        <w:t xml:space="preserve"> Ces POS s’appliquent à l’ouverture d’une balle de MII, au retrait de toutes les MII qu’elle contient et au transfert de cette quantité à un niveau de gestion des stocks d’une seule unité. Le terme « Break bulk » (« Fractionnement »), tel qu’il est utilisé dans cet exemple, est un terme d’entreposage courant qui décrit le processus de désagrégation d’une unité logistique unique et plus grande (telle qu’une palette ou une caisse) et sa répartition en articles individuels à placer dans « open stock » (« stock ouvert »).</w:t>
      </w:r>
    </w:p>
    <w:p w14:paraId="0D903A00" w14:textId="77777777" w:rsidR="006A0CC3" w:rsidRDefault="006A0CC3">
      <w:pPr>
        <w:spacing w:line="240" w:lineRule="auto"/>
        <w:rPr>
          <w:rFonts w:ascii="Calibri" w:eastAsia="Calibri" w:hAnsi="Calibri" w:cs="Calibri"/>
        </w:rPr>
      </w:pPr>
    </w:p>
    <w:p w14:paraId="710DB9EF" w14:textId="77777777" w:rsidR="006A0CC3" w:rsidRDefault="00743C78">
      <w:pPr>
        <w:spacing w:line="240" w:lineRule="auto"/>
        <w:rPr>
          <w:rFonts w:ascii="Calibri" w:eastAsia="Calibri" w:hAnsi="Calibri" w:cs="Calibri"/>
        </w:rPr>
      </w:pPr>
      <w:r>
        <w:rPr>
          <w:rFonts w:ascii="Calibri" w:eastAsia="Calibri" w:hAnsi="Calibri" w:cs="Calibri"/>
          <w:b/>
          <w:bCs/>
        </w:rPr>
        <w:t>Exigences :</w:t>
      </w:r>
    </w:p>
    <w:p w14:paraId="36A2FEE9" w14:textId="77777777" w:rsidR="006A0CC3" w:rsidRDefault="00743C78">
      <w:pPr>
        <w:numPr>
          <w:ilvl w:val="0"/>
          <w:numId w:val="12"/>
        </w:numPr>
        <w:spacing w:line="240" w:lineRule="auto"/>
        <w:rPr>
          <w:rFonts w:ascii="Calibri" w:eastAsia="Calibri" w:hAnsi="Calibri" w:cs="Calibri"/>
        </w:rPr>
      </w:pPr>
      <w:r>
        <w:rPr>
          <w:rFonts w:ascii="Calibri" w:eastAsia="Calibri" w:hAnsi="Calibri" w:cs="Calibri"/>
        </w:rPr>
        <w:t>Système de gestion de l’information (SGI) de la chaîne d’approvisionnement des MII qui a assuré le suivi des unités logistiques (balles) par numéro séquentiel de colis (SSCC)</w:t>
      </w:r>
    </w:p>
    <w:p w14:paraId="2619F881" w14:textId="77777777" w:rsidR="006A0CC3" w:rsidRDefault="00743C78">
      <w:pPr>
        <w:widowControl w:val="0"/>
        <w:numPr>
          <w:ilvl w:val="0"/>
          <w:numId w:val="12"/>
        </w:numPr>
        <w:spacing w:line="240" w:lineRule="auto"/>
        <w:rPr>
          <w:rFonts w:ascii="Calibri" w:eastAsia="Calibri" w:hAnsi="Calibri" w:cs="Calibri"/>
        </w:rPr>
      </w:pPr>
      <w:r>
        <w:rPr>
          <w:rFonts w:ascii="Calibri" w:eastAsia="Calibri" w:hAnsi="Calibri" w:cs="Calibri"/>
        </w:rPr>
        <w:t>La description de produit du SGI est associée à un code article international (GTIN) fourni par le fabricant</w:t>
      </w:r>
    </w:p>
    <w:p w14:paraId="4D5F27C2" w14:textId="77777777" w:rsidR="006A0CC3" w:rsidRDefault="00743C78">
      <w:pPr>
        <w:widowControl w:val="0"/>
        <w:numPr>
          <w:ilvl w:val="0"/>
          <w:numId w:val="12"/>
        </w:numPr>
        <w:spacing w:line="240" w:lineRule="auto"/>
        <w:rPr>
          <w:rFonts w:ascii="Calibri" w:eastAsia="Calibri" w:hAnsi="Calibri" w:cs="Calibri"/>
        </w:rPr>
      </w:pPr>
      <w:r>
        <w:rPr>
          <w:rFonts w:ascii="Calibri" w:eastAsia="Calibri" w:hAnsi="Calibri" w:cs="Calibri"/>
        </w:rPr>
        <w:t>Le SGI est préconfiguré pour enregistrer le numéro de série unique dérivé de l’AIDC pour les MII individuelles</w:t>
      </w:r>
    </w:p>
    <w:p w14:paraId="56850E79" w14:textId="77777777" w:rsidR="006A0CC3" w:rsidRDefault="00743C78">
      <w:pPr>
        <w:widowControl w:val="0"/>
        <w:numPr>
          <w:ilvl w:val="0"/>
          <w:numId w:val="12"/>
        </w:numPr>
        <w:spacing w:line="240" w:lineRule="auto"/>
        <w:rPr>
          <w:rFonts w:ascii="Calibri" w:eastAsia="Calibri" w:hAnsi="Calibri" w:cs="Calibri"/>
        </w:rPr>
      </w:pPr>
      <w:r>
        <w:rPr>
          <w:rFonts w:ascii="Calibri" w:eastAsia="Calibri" w:hAnsi="Calibri" w:cs="Calibri"/>
        </w:rPr>
        <w:t>Les MII individuelles sont dotées d’étiquettes logistiques qui portent un numéro de série unique pour chaque MII</w:t>
      </w:r>
    </w:p>
    <w:p w14:paraId="49891F5C" w14:textId="77777777" w:rsidR="006A0CC3" w:rsidRDefault="006A0CC3">
      <w:pPr>
        <w:spacing w:line="240" w:lineRule="auto"/>
        <w:rPr>
          <w:rFonts w:ascii="Calibri" w:eastAsia="Calibri" w:hAnsi="Calibri" w:cs="Calibri"/>
        </w:rPr>
      </w:pPr>
    </w:p>
    <w:p w14:paraId="2C84D960" w14:textId="77777777" w:rsidR="006A0CC3" w:rsidRDefault="00743C78">
      <w:pPr>
        <w:spacing w:line="240" w:lineRule="auto"/>
        <w:rPr>
          <w:rFonts w:ascii="Calibri" w:eastAsia="Calibri" w:hAnsi="Calibri" w:cs="Calibri"/>
          <w:b/>
          <w:bCs/>
        </w:rPr>
      </w:pPr>
      <w:r>
        <w:rPr>
          <w:rFonts w:ascii="Calibri" w:eastAsia="Calibri" w:hAnsi="Calibri" w:cs="Calibri"/>
          <w:b/>
          <w:bCs/>
        </w:rPr>
        <w:t>Procédures</w:t>
      </w:r>
    </w:p>
    <w:p w14:paraId="7F940041" w14:textId="77777777" w:rsidR="006A0CC3" w:rsidRDefault="006A0CC3">
      <w:pPr>
        <w:spacing w:line="240" w:lineRule="auto"/>
        <w:rPr>
          <w:rFonts w:ascii="Calibri" w:eastAsia="Calibri" w:hAnsi="Calibri" w:cs="Calibri"/>
          <w:b/>
          <w:bCs/>
        </w:rPr>
      </w:pPr>
    </w:p>
    <w:tbl>
      <w:tblPr>
        <w:tblStyle w:val="af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980"/>
        <w:gridCol w:w="4371"/>
      </w:tblGrid>
      <w:tr w:rsidR="006A0CC3" w14:paraId="7BCAB6C6" w14:textId="77777777">
        <w:tc>
          <w:tcPr>
            <w:tcW w:w="1665" w:type="dxa"/>
          </w:tcPr>
          <w:p w14:paraId="6BDAA948" w14:textId="77777777" w:rsidR="006A0CC3" w:rsidRDefault="00743C78">
            <w:pPr>
              <w:spacing w:line="240" w:lineRule="auto"/>
              <w:jc w:val="center"/>
              <w:rPr>
                <w:rFonts w:ascii="Calibri" w:eastAsia="Calibri" w:hAnsi="Calibri" w:cs="Calibri"/>
                <w:b/>
                <w:bCs/>
              </w:rPr>
            </w:pPr>
            <w:r>
              <w:rPr>
                <w:rFonts w:ascii="Calibri" w:eastAsia="Calibri" w:hAnsi="Calibri" w:cs="Calibri"/>
                <w:b/>
                <w:bCs/>
              </w:rPr>
              <w:t>NUMÉRO DE PROCÉDURE</w:t>
            </w:r>
          </w:p>
        </w:tc>
        <w:tc>
          <w:tcPr>
            <w:tcW w:w="2980" w:type="dxa"/>
          </w:tcPr>
          <w:p w14:paraId="3E9D301C" w14:textId="77777777" w:rsidR="006A0CC3" w:rsidRDefault="00743C78">
            <w:pPr>
              <w:spacing w:line="240" w:lineRule="auto"/>
              <w:jc w:val="center"/>
              <w:rPr>
                <w:rFonts w:ascii="Calibri" w:eastAsia="Calibri" w:hAnsi="Calibri" w:cs="Calibri"/>
                <w:b/>
                <w:bCs/>
              </w:rPr>
            </w:pPr>
            <w:r>
              <w:rPr>
                <w:rFonts w:ascii="Calibri" w:eastAsia="Calibri" w:hAnsi="Calibri" w:cs="Calibri"/>
                <w:b/>
                <w:bCs/>
              </w:rPr>
              <w:t>ÉTAPES DE LA PROCÉDURE</w:t>
            </w:r>
          </w:p>
        </w:tc>
        <w:tc>
          <w:tcPr>
            <w:tcW w:w="4371" w:type="dxa"/>
          </w:tcPr>
          <w:p w14:paraId="2F4B6CE0" w14:textId="77777777" w:rsidR="006A0CC3" w:rsidRDefault="00743C78">
            <w:pPr>
              <w:spacing w:line="240" w:lineRule="auto"/>
              <w:jc w:val="center"/>
              <w:rPr>
                <w:rFonts w:ascii="Calibri" w:eastAsia="Calibri" w:hAnsi="Calibri" w:cs="Calibri"/>
                <w:b/>
                <w:bCs/>
              </w:rPr>
            </w:pPr>
            <w:r>
              <w:rPr>
                <w:rFonts w:ascii="Calibri" w:eastAsia="Calibri" w:hAnsi="Calibri" w:cs="Calibri"/>
                <w:b/>
                <w:bCs/>
              </w:rPr>
              <w:t>DESCRIPTION</w:t>
            </w:r>
          </w:p>
          <w:p w14:paraId="7B9CAAE2" w14:textId="77777777" w:rsidR="006A0CC3" w:rsidRDefault="006A0CC3">
            <w:pPr>
              <w:spacing w:line="240" w:lineRule="auto"/>
              <w:jc w:val="center"/>
              <w:rPr>
                <w:rFonts w:ascii="Calibri" w:eastAsia="Calibri" w:hAnsi="Calibri" w:cs="Calibri"/>
                <w:b/>
                <w:bCs/>
              </w:rPr>
            </w:pPr>
          </w:p>
          <w:p w14:paraId="44549451" w14:textId="77777777" w:rsidR="006A0CC3" w:rsidRDefault="006A0CC3">
            <w:pPr>
              <w:spacing w:line="240" w:lineRule="auto"/>
              <w:jc w:val="center"/>
              <w:rPr>
                <w:rFonts w:ascii="Calibri" w:eastAsia="Calibri" w:hAnsi="Calibri" w:cs="Calibri"/>
                <w:b/>
                <w:bCs/>
              </w:rPr>
            </w:pPr>
          </w:p>
        </w:tc>
      </w:tr>
      <w:tr w:rsidR="006A0CC3" w14:paraId="2BB57F7D" w14:textId="77777777">
        <w:tc>
          <w:tcPr>
            <w:tcW w:w="1665" w:type="dxa"/>
          </w:tcPr>
          <w:p w14:paraId="2AD2B17B" w14:textId="77777777" w:rsidR="006A0CC3" w:rsidRDefault="00743C78">
            <w:pPr>
              <w:spacing w:line="240" w:lineRule="auto"/>
              <w:rPr>
                <w:rFonts w:ascii="Calibri" w:eastAsia="Calibri" w:hAnsi="Calibri" w:cs="Calibri"/>
              </w:rPr>
            </w:pPr>
            <w:r>
              <w:rPr>
                <w:rFonts w:ascii="Calibri" w:eastAsia="Calibri" w:hAnsi="Calibri" w:cs="Calibri"/>
              </w:rPr>
              <w:t>1.</w:t>
            </w:r>
          </w:p>
        </w:tc>
        <w:tc>
          <w:tcPr>
            <w:tcW w:w="2980" w:type="dxa"/>
          </w:tcPr>
          <w:p w14:paraId="6FEF96B8" w14:textId="77777777" w:rsidR="006A0CC3" w:rsidRDefault="00743C78">
            <w:pPr>
              <w:spacing w:line="240" w:lineRule="auto"/>
              <w:jc w:val="both"/>
              <w:rPr>
                <w:rFonts w:ascii="Calibri" w:eastAsia="Calibri" w:hAnsi="Calibri" w:cs="Calibri"/>
              </w:rPr>
            </w:pPr>
            <w:r>
              <w:rPr>
                <w:rFonts w:ascii="Calibri" w:eastAsia="Calibri" w:hAnsi="Calibri" w:cs="Calibri"/>
              </w:rPr>
              <w:t>Connexion</w:t>
            </w:r>
          </w:p>
        </w:tc>
        <w:tc>
          <w:tcPr>
            <w:tcW w:w="4371" w:type="dxa"/>
          </w:tcPr>
          <w:p w14:paraId="55760548" w14:textId="77777777" w:rsidR="006A0CC3" w:rsidRDefault="00743C78">
            <w:pPr>
              <w:spacing w:line="240" w:lineRule="auto"/>
              <w:rPr>
                <w:rFonts w:ascii="Calibri" w:eastAsia="Calibri" w:hAnsi="Calibri" w:cs="Calibri"/>
              </w:rPr>
            </w:pPr>
            <w:r>
              <w:rPr>
                <w:rFonts w:ascii="Calibri" w:eastAsia="Calibri" w:hAnsi="Calibri" w:cs="Calibri"/>
              </w:rPr>
              <w:t>L’utilisateur se connecte au système de gestion de l’information (SGI) utilisé pour la gestion des stocks de MII.</w:t>
            </w:r>
          </w:p>
        </w:tc>
      </w:tr>
      <w:tr w:rsidR="006A0CC3" w14:paraId="78E41369" w14:textId="77777777">
        <w:tc>
          <w:tcPr>
            <w:tcW w:w="1665" w:type="dxa"/>
          </w:tcPr>
          <w:p w14:paraId="6CE89A33" w14:textId="77777777" w:rsidR="006A0CC3" w:rsidRDefault="00743C78">
            <w:pPr>
              <w:spacing w:line="240" w:lineRule="auto"/>
              <w:rPr>
                <w:rFonts w:ascii="Calibri" w:eastAsia="Calibri" w:hAnsi="Calibri" w:cs="Calibri"/>
              </w:rPr>
            </w:pPr>
            <w:r>
              <w:rPr>
                <w:rFonts w:ascii="Calibri" w:eastAsia="Calibri" w:hAnsi="Calibri" w:cs="Calibri"/>
              </w:rPr>
              <w:t>2.</w:t>
            </w:r>
          </w:p>
        </w:tc>
        <w:tc>
          <w:tcPr>
            <w:tcW w:w="2980" w:type="dxa"/>
          </w:tcPr>
          <w:p w14:paraId="327094C8" w14:textId="77777777" w:rsidR="006A0CC3" w:rsidRDefault="00743C78">
            <w:pPr>
              <w:spacing w:line="240" w:lineRule="auto"/>
              <w:jc w:val="both"/>
              <w:rPr>
                <w:rFonts w:ascii="Calibri" w:eastAsia="Calibri" w:hAnsi="Calibri" w:cs="Calibri"/>
              </w:rPr>
            </w:pPr>
            <w:r>
              <w:rPr>
                <w:rFonts w:ascii="Calibri" w:eastAsia="Calibri" w:hAnsi="Calibri" w:cs="Calibri"/>
              </w:rPr>
              <w:t>Authentification</w:t>
            </w:r>
          </w:p>
        </w:tc>
        <w:tc>
          <w:tcPr>
            <w:tcW w:w="4371" w:type="dxa"/>
          </w:tcPr>
          <w:p w14:paraId="2408990B" w14:textId="77777777" w:rsidR="006A0CC3" w:rsidRDefault="00743C78">
            <w:pPr>
              <w:spacing w:line="240" w:lineRule="auto"/>
              <w:rPr>
                <w:rFonts w:ascii="Calibri" w:eastAsia="Calibri" w:hAnsi="Calibri" w:cs="Calibri"/>
              </w:rPr>
            </w:pPr>
            <w:r>
              <w:rPr>
                <w:rFonts w:ascii="Calibri" w:eastAsia="Calibri" w:hAnsi="Calibri" w:cs="Calibri"/>
              </w:rPr>
              <w:t>Informations d’identification de l’utilisateur confirmées/rejetées. Les droits/privilèges des utilisateurs doivent être préconfigurés.</w:t>
            </w:r>
          </w:p>
        </w:tc>
      </w:tr>
      <w:tr w:rsidR="006A0CC3" w14:paraId="1D01D94A" w14:textId="77777777">
        <w:tc>
          <w:tcPr>
            <w:tcW w:w="1665" w:type="dxa"/>
          </w:tcPr>
          <w:p w14:paraId="60C989DF" w14:textId="77777777" w:rsidR="006A0CC3" w:rsidRDefault="00743C78">
            <w:pPr>
              <w:spacing w:line="240" w:lineRule="auto"/>
              <w:rPr>
                <w:rFonts w:ascii="Calibri" w:eastAsia="Calibri" w:hAnsi="Calibri" w:cs="Calibri"/>
              </w:rPr>
            </w:pPr>
            <w:r>
              <w:rPr>
                <w:rFonts w:ascii="Calibri" w:eastAsia="Calibri" w:hAnsi="Calibri" w:cs="Calibri"/>
              </w:rPr>
              <w:t>3.</w:t>
            </w:r>
          </w:p>
        </w:tc>
        <w:tc>
          <w:tcPr>
            <w:tcW w:w="2980" w:type="dxa"/>
          </w:tcPr>
          <w:p w14:paraId="2EBB0B0D" w14:textId="77777777" w:rsidR="006A0CC3" w:rsidRDefault="00743C78">
            <w:pPr>
              <w:spacing w:line="240" w:lineRule="auto"/>
              <w:jc w:val="both"/>
              <w:rPr>
                <w:rFonts w:ascii="Calibri" w:eastAsia="Calibri" w:hAnsi="Calibri" w:cs="Calibri"/>
              </w:rPr>
            </w:pPr>
            <w:r>
              <w:rPr>
                <w:rFonts w:ascii="Calibri" w:eastAsia="Calibri" w:hAnsi="Calibri" w:cs="Calibri"/>
              </w:rPr>
              <w:t>Accéder à « Break bulk » (« Fractionnement »)</w:t>
            </w:r>
          </w:p>
        </w:tc>
        <w:tc>
          <w:tcPr>
            <w:tcW w:w="4371" w:type="dxa"/>
          </w:tcPr>
          <w:p w14:paraId="58A3BFCC" w14:textId="77777777" w:rsidR="006A0CC3" w:rsidRDefault="00743C78">
            <w:pPr>
              <w:spacing w:line="240" w:lineRule="auto"/>
              <w:rPr>
                <w:rFonts w:ascii="Calibri" w:eastAsia="Calibri" w:hAnsi="Calibri" w:cs="Calibri"/>
              </w:rPr>
            </w:pPr>
            <w:r>
              <w:rPr>
                <w:rFonts w:ascii="Calibri" w:eastAsia="Calibri" w:hAnsi="Calibri" w:cs="Calibri"/>
              </w:rPr>
              <w:t>L’utilisateur accède à l’option « Break bulk » (« Fractionnement ») du module de gestion des stocks du SGI.</w:t>
            </w:r>
          </w:p>
        </w:tc>
      </w:tr>
      <w:tr w:rsidR="006A0CC3" w14:paraId="2B873319" w14:textId="77777777">
        <w:tc>
          <w:tcPr>
            <w:tcW w:w="1665" w:type="dxa"/>
          </w:tcPr>
          <w:p w14:paraId="6AF9C01A" w14:textId="77777777" w:rsidR="006A0CC3" w:rsidRDefault="00743C78">
            <w:pPr>
              <w:spacing w:line="240" w:lineRule="auto"/>
              <w:rPr>
                <w:rFonts w:ascii="Calibri" w:eastAsia="Calibri" w:hAnsi="Calibri" w:cs="Calibri"/>
              </w:rPr>
            </w:pPr>
            <w:r>
              <w:rPr>
                <w:rFonts w:ascii="Calibri" w:eastAsia="Calibri" w:hAnsi="Calibri" w:cs="Calibri"/>
              </w:rPr>
              <w:lastRenderedPageBreak/>
              <w:t>4.</w:t>
            </w:r>
          </w:p>
        </w:tc>
        <w:tc>
          <w:tcPr>
            <w:tcW w:w="2980" w:type="dxa"/>
          </w:tcPr>
          <w:p w14:paraId="0A4B8595" w14:textId="77777777" w:rsidR="006A0CC3" w:rsidRDefault="00743C78">
            <w:pPr>
              <w:spacing w:line="240" w:lineRule="auto"/>
              <w:jc w:val="both"/>
              <w:rPr>
                <w:rFonts w:ascii="Calibri" w:eastAsia="Calibri" w:hAnsi="Calibri" w:cs="Calibri"/>
              </w:rPr>
            </w:pPr>
            <w:r>
              <w:rPr>
                <w:rFonts w:ascii="Calibri" w:eastAsia="Calibri" w:hAnsi="Calibri" w:cs="Calibri"/>
              </w:rPr>
              <w:t>Scanner le numéro séquentiel de colis (SSCC)</w:t>
            </w:r>
          </w:p>
        </w:tc>
        <w:tc>
          <w:tcPr>
            <w:tcW w:w="4371" w:type="dxa"/>
          </w:tcPr>
          <w:p w14:paraId="0E505A68"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L’utilisateur scanne le SSCC d’une balle</w:t>
            </w:r>
          </w:p>
          <w:p w14:paraId="3BA900E1"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SGI vérifie les données saisies par rapport à l’enregistrement du SGI concernant les SSCC dans le stock interne</w:t>
            </w:r>
          </w:p>
          <w:p w14:paraId="5D937AF3"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le SSCC sur la balle concorde avec le SSCC dans le SGI, l’utilisateur passe à la procédure 5.</w:t>
            </w:r>
          </w:p>
          <w:p w14:paraId="7DE0937E"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S’il n’y a pas de concordance, voir : </w:t>
            </w:r>
            <w:r>
              <w:rPr>
                <w:rFonts w:ascii="Calibri" w:eastAsia="Calibri" w:hAnsi="Calibri" w:cs="Calibri"/>
                <w:b/>
                <w:bCs/>
                <w:color w:val="000000"/>
              </w:rPr>
              <w:t xml:space="preserve">PROCÉDURES DE RAPPROCHEMENT DES ÉCARTS DE DÉSAGRÉGATION DES BALLES DE MII </w:t>
            </w:r>
            <w:r>
              <w:rPr>
                <w:rFonts w:ascii="Calibri" w:eastAsia="Calibri" w:hAnsi="Calibri" w:cs="Calibri"/>
                <w:color w:val="000000"/>
              </w:rPr>
              <w:t>(annexe)</w:t>
            </w:r>
          </w:p>
        </w:tc>
      </w:tr>
      <w:tr w:rsidR="006A0CC3" w14:paraId="49739A15" w14:textId="77777777">
        <w:tc>
          <w:tcPr>
            <w:tcW w:w="1665" w:type="dxa"/>
          </w:tcPr>
          <w:p w14:paraId="7CC01654" w14:textId="77777777" w:rsidR="006A0CC3" w:rsidRDefault="00743C78">
            <w:pPr>
              <w:spacing w:line="240" w:lineRule="auto"/>
              <w:rPr>
                <w:rFonts w:ascii="Calibri" w:eastAsia="Calibri" w:hAnsi="Calibri" w:cs="Calibri"/>
              </w:rPr>
            </w:pPr>
            <w:r>
              <w:rPr>
                <w:rFonts w:ascii="Calibri" w:eastAsia="Calibri" w:hAnsi="Calibri" w:cs="Calibri"/>
              </w:rPr>
              <w:t>5</w:t>
            </w:r>
          </w:p>
        </w:tc>
        <w:tc>
          <w:tcPr>
            <w:tcW w:w="2980" w:type="dxa"/>
          </w:tcPr>
          <w:p w14:paraId="702582F5" w14:textId="77777777" w:rsidR="006A0CC3" w:rsidRDefault="00743C78">
            <w:pPr>
              <w:numPr>
                <w:ilvl w:val="0"/>
                <w:numId w:val="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Retirer la première MII individuelle de la balle</w:t>
            </w:r>
          </w:p>
          <w:p w14:paraId="6A1DE750" w14:textId="77777777" w:rsidR="006A0CC3" w:rsidRDefault="00743C78">
            <w:pPr>
              <w:numPr>
                <w:ilvl w:val="0"/>
                <w:numId w:val="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Scanner le support de données apposé sur la MII individuelle</w:t>
            </w:r>
          </w:p>
          <w:p w14:paraId="183FE113" w14:textId="77777777" w:rsidR="006A0CC3" w:rsidRDefault="00743C78">
            <w:pPr>
              <w:numPr>
                <w:ilvl w:val="0"/>
                <w:numId w:val="3"/>
              </w:numPr>
              <w:pBdr>
                <w:top w:val="nil"/>
                <w:left w:val="nil"/>
                <w:bottom w:val="nil"/>
                <w:right w:val="nil"/>
                <w:between w:val="nil"/>
              </w:pBdr>
              <w:spacing w:line="240" w:lineRule="auto"/>
              <w:jc w:val="both"/>
              <w:rPr>
                <w:rFonts w:ascii="Calibri" w:eastAsia="Calibri" w:hAnsi="Calibri" w:cs="Calibri"/>
                <w:color w:val="000000"/>
              </w:rPr>
            </w:pPr>
            <w:r>
              <w:rPr>
                <w:rFonts w:ascii="Calibri" w:eastAsia="Calibri" w:hAnsi="Calibri" w:cs="Calibri"/>
                <w:color w:val="000000"/>
              </w:rPr>
              <w:t>Confirmation du lot</w:t>
            </w:r>
          </w:p>
          <w:p w14:paraId="65AA56CA" w14:textId="77777777" w:rsidR="006A0CC3" w:rsidRDefault="00743C78">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Confirmation de la date de production</w:t>
            </w:r>
          </w:p>
          <w:p w14:paraId="52D068C3" w14:textId="77777777" w:rsidR="006A0CC3" w:rsidRDefault="00743C78">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Enregistrement de la quantité</w:t>
            </w:r>
          </w:p>
          <w:p w14:paraId="204FD177" w14:textId="77777777" w:rsidR="006A0CC3" w:rsidRDefault="00743C78">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Invite « Scan next unit » (« Scanner l’unité suivante »)</w:t>
            </w:r>
          </w:p>
        </w:tc>
        <w:tc>
          <w:tcPr>
            <w:tcW w:w="4371" w:type="dxa"/>
          </w:tcPr>
          <w:p w14:paraId="312386CB"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Les données relatives au GTIN, au lot/à la date de production des MII individuelles concordent-elles avec les données du SGI précédemment associées au SSCC de la balle ouverte lors de sa réception ?</w:t>
            </w:r>
          </w:p>
          <w:p w14:paraId="3AF6D4F1"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OUI :</w:t>
            </w:r>
          </w:p>
          <w:p w14:paraId="2A53E80F"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numéro de série de la MII unique est automatiquement rempli dans un champ correspondant du SGI</w:t>
            </w:r>
          </w:p>
          <w:p w14:paraId="6FFA5E5D"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stock est ajusté de « 1 »</w:t>
            </w:r>
          </w:p>
          <w:p w14:paraId="73030A98"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L’utilisateur est invité à passer à la procédure 6 avec « Scan next unit » (« Scanner l’unité suivante »)</w:t>
            </w:r>
          </w:p>
          <w:p w14:paraId="56BA7050"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Si NON : le SGI indique « Error » (« Erreur »). Voir : </w:t>
            </w:r>
            <w:r>
              <w:rPr>
                <w:rFonts w:ascii="Calibri" w:eastAsia="Calibri" w:hAnsi="Calibri" w:cs="Calibri"/>
                <w:b/>
                <w:bCs/>
                <w:color w:val="000000"/>
              </w:rPr>
              <w:t>PROCÉDURES DE RAPPROCHEMENT DES ÉCARTS DE DÉSAGRÉGATION DES BALLES DE MII</w:t>
            </w:r>
          </w:p>
        </w:tc>
      </w:tr>
      <w:tr w:rsidR="006A0CC3" w14:paraId="1E10465D" w14:textId="77777777">
        <w:tc>
          <w:tcPr>
            <w:tcW w:w="1665" w:type="dxa"/>
          </w:tcPr>
          <w:p w14:paraId="72EAFC7B" w14:textId="77777777" w:rsidR="006A0CC3" w:rsidRDefault="00743C78">
            <w:pPr>
              <w:spacing w:line="240" w:lineRule="auto"/>
              <w:rPr>
                <w:rFonts w:ascii="Calibri" w:eastAsia="Calibri" w:hAnsi="Calibri" w:cs="Calibri"/>
              </w:rPr>
            </w:pPr>
            <w:r>
              <w:rPr>
                <w:rFonts w:ascii="Calibri" w:eastAsia="Calibri" w:hAnsi="Calibri" w:cs="Calibri"/>
              </w:rPr>
              <w:t>6.</w:t>
            </w:r>
          </w:p>
        </w:tc>
        <w:tc>
          <w:tcPr>
            <w:tcW w:w="2980" w:type="dxa"/>
          </w:tcPr>
          <w:p w14:paraId="3BE4E741"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Retirer une MII individuelle de la balle</w:t>
            </w:r>
          </w:p>
          <w:p w14:paraId="57888A18"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Scanner le support de données apposé sur la MII individuelle</w:t>
            </w:r>
          </w:p>
          <w:p w14:paraId="2C26A09F"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Confirmation du lot</w:t>
            </w:r>
          </w:p>
          <w:p w14:paraId="60ECCECC"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Confirmation de la date de production</w:t>
            </w:r>
          </w:p>
          <w:p w14:paraId="77C65C8B"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Enregistrement de la quantité</w:t>
            </w:r>
          </w:p>
          <w:p w14:paraId="0FD94B0B" w14:textId="77777777" w:rsidR="006A0CC3" w:rsidRDefault="00743C78">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Invite « Scan next unit » (« Scanner l’unité suivante »)</w:t>
            </w:r>
          </w:p>
        </w:tc>
        <w:tc>
          <w:tcPr>
            <w:tcW w:w="4371" w:type="dxa"/>
          </w:tcPr>
          <w:p w14:paraId="1E2092EE"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Les données relatives au GTIN, au lot/à la date de production des MII individuelles concordent-elles avec les données du SGI précédemment associées au SSCC de la balle ouverte lors de sa réception ?</w:t>
            </w:r>
          </w:p>
          <w:p w14:paraId="62B17532"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OUI :</w:t>
            </w:r>
          </w:p>
          <w:p w14:paraId="4CE9FCF8"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numéro de série de la MII unique est automatiquement rempli dans un champ correspondant du SGI</w:t>
            </w:r>
          </w:p>
          <w:p w14:paraId="479A8EF5"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stock est ajusté de « 1 »</w:t>
            </w:r>
          </w:p>
          <w:p w14:paraId="0F6B372E"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b/>
                <w:bCs/>
                <w:color w:val="000000"/>
              </w:rPr>
            </w:pPr>
            <w:r>
              <w:rPr>
                <w:rFonts w:ascii="Calibri" w:eastAsia="Calibri" w:hAnsi="Calibri" w:cs="Calibri"/>
                <w:color w:val="000000"/>
              </w:rPr>
              <w:t xml:space="preserve">Si NON : le SGI indique « Error » (« Erreur »). Voir : </w:t>
            </w:r>
            <w:r>
              <w:rPr>
                <w:rFonts w:ascii="Calibri" w:eastAsia="Calibri" w:hAnsi="Calibri" w:cs="Calibri"/>
                <w:b/>
                <w:bCs/>
                <w:color w:val="000000"/>
              </w:rPr>
              <w:t>PROCÉDURES DE RAPPROCHEMENT DES ÉCARTS DE DÉSAGRÉGATION DES BALLES DE MII</w:t>
            </w:r>
          </w:p>
          <w:p w14:paraId="1F30A1F3"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La quantité de MII scannées jusqu’à présent est-elle égale à la quantité initiale de MII associée au SSCC dans le SGI ?</w:t>
            </w:r>
          </w:p>
          <w:p w14:paraId="27C1B0A2"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OUI :</w:t>
            </w:r>
          </w:p>
          <w:p w14:paraId="4CA20A06"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L’utilisateur reçoit l’invite « Decommission SSCC » </w:t>
            </w:r>
            <w:r>
              <w:rPr>
                <w:rFonts w:ascii="Calibri" w:eastAsia="Calibri" w:hAnsi="Calibri" w:cs="Calibri"/>
                <w:color w:val="000000"/>
              </w:rPr>
              <w:lastRenderedPageBreak/>
              <w:t>(« Désactiver le SSCC »), puis passer à la procédure 7.</w:t>
            </w:r>
          </w:p>
          <w:p w14:paraId="7F67537B" w14:textId="77777777" w:rsidR="006A0CC3" w:rsidRDefault="00743C78">
            <w:pPr>
              <w:numPr>
                <w:ilvl w:val="0"/>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NON :</w:t>
            </w:r>
          </w:p>
          <w:p w14:paraId="39FA8494"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L’utilisateur est invité à répéter la procédure 6</w:t>
            </w:r>
          </w:p>
          <w:p w14:paraId="5ABCF502" w14:textId="77777777" w:rsidR="006A0CC3" w:rsidRDefault="00743C78">
            <w:pPr>
              <w:numPr>
                <w:ilvl w:val="1"/>
                <w:numId w:val="2"/>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Si l’utilisateur ne peut pas répéter la procédure 6 parce que la balle est vide, passer à la procédure 7</w:t>
            </w:r>
          </w:p>
        </w:tc>
      </w:tr>
      <w:tr w:rsidR="006A0CC3" w14:paraId="5FFC2AE2" w14:textId="77777777">
        <w:tc>
          <w:tcPr>
            <w:tcW w:w="1665" w:type="dxa"/>
          </w:tcPr>
          <w:p w14:paraId="71682231" w14:textId="77777777" w:rsidR="006A0CC3" w:rsidRDefault="00743C78">
            <w:pPr>
              <w:spacing w:line="240" w:lineRule="auto"/>
              <w:rPr>
                <w:rFonts w:ascii="Calibri" w:eastAsia="Calibri" w:hAnsi="Calibri" w:cs="Calibri"/>
              </w:rPr>
            </w:pPr>
            <w:r>
              <w:rPr>
                <w:rFonts w:ascii="Calibri" w:eastAsia="Calibri" w:hAnsi="Calibri" w:cs="Calibri"/>
              </w:rPr>
              <w:lastRenderedPageBreak/>
              <w:t>7.</w:t>
            </w:r>
          </w:p>
        </w:tc>
        <w:tc>
          <w:tcPr>
            <w:tcW w:w="2980" w:type="dxa"/>
          </w:tcPr>
          <w:p w14:paraId="42F4ABC9" w14:textId="77777777" w:rsidR="006A0CC3" w:rsidRDefault="00743C78">
            <w:pPr>
              <w:spacing w:line="240" w:lineRule="auto"/>
              <w:jc w:val="both"/>
              <w:rPr>
                <w:rFonts w:ascii="Calibri" w:eastAsia="Calibri" w:hAnsi="Calibri" w:cs="Calibri"/>
              </w:rPr>
            </w:pPr>
            <w:r>
              <w:rPr>
                <w:rFonts w:ascii="Calibri" w:eastAsia="Calibri" w:hAnsi="Calibri" w:cs="Calibri"/>
              </w:rPr>
              <w:t>Désactiver le SSCC</w:t>
            </w:r>
          </w:p>
        </w:tc>
        <w:tc>
          <w:tcPr>
            <w:tcW w:w="4371" w:type="dxa"/>
          </w:tcPr>
          <w:p w14:paraId="3F6F0CC5" w14:textId="77777777" w:rsidR="006A0CC3" w:rsidRDefault="00743C78">
            <w:pPr>
              <w:spacing w:line="240" w:lineRule="auto"/>
              <w:rPr>
                <w:rFonts w:ascii="Calibri" w:eastAsia="Calibri" w:hAnsi="Calibri" w:cs="Calibri"/>
              </w:rPr>
            </w:pPr>
            <w:r>
              <w:rPr>
                <w:rFonts w:ascii="Calibri" w:eastAsia="Calibri" w:hAnsi="Calibri" w:cs="Calibri"/>
              </w:rPr>
              <w:t>L’utilisateur reçoit l’invite « Logistics unit empty? » (« Unité logistique vide ? »)</w:t>
            </w:r>
          </w:p>
          <w:p w14:paraId="2249B7BC" w14:textId="77777777" w:rsidR="006A0CC3" w:rsidRDefault="00743C78">
            <w:pPr>
              <w:spacing w:line="240" w:lineRule="auto"/>
              <w:rPr>
                <w:rFonts w:ascii="Calibri" w:eastAsia="Calibri" w:hAnsi="Calibri" w:cs="Calibri"/>
              </w:rPr>
            </w:pPr>
            <w:r>
              <w:rPr>
                <w:rFonts w:ascii="Calibri" w:eastAsia="Calibri" w:hAnsi="Calibri" w:cs="Calibri"/>
              </w:rPr>
              <w:t>Si OUI :</w:t>
            </w:r>
          </w:p>
          <w:p w14:paraId="011A7CCB" w14:textId="77777777" w:rsidR="006A0CC3" w:rsidRDefault="00743C78">
            <w:pPr>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SSCC est désactivé dans le SGI</w:t>
            </w:r>
          </w:p>
          <w:p w14:paraId="703234E3" w14:textId="77777777" w:rsidR="006A0CC3" w:rsidRDefault="00743C78">
            <w:pPr>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Le stock est ajusté des quantités contenues dans les balles aux quantités de MII au niveau du stock ouvert</w:t>
            </w:r>
          </w:p>
          <w:p w14:paraId="5123CAB2" w14:textId="77777777" w:rsidR="006A0CC3" w:rsidRDefault="00743C78">
            <w:pPr>
              <w:numPr>
                <w:ilvl w:val="0"/>
                <w:numId w:val="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L’utilisateur reçoit l’invite « Navigate to Break bulk ? » (« Accéder à Fractionnement ? ») OUI/NON pour répéter la procédure avec une autre balle ou arrêter.</w:t>
            </w:r>
          </w:p>
          <w:p w14:paraId="6523F923" w14:textId="77777777" w:rsidR="006A0CC3" w:rsidRDefault="00743C78">
            <w:pPr>
              <w:spacing w:line="240" w:lineRule="auto"/>
              <w:rPr>
                <w:rFonts w:ascii="Calibri" w:eastAsia="Calibri" w:hAnsi="Calibri" w:cs="Calibri"/>
              </w:rPr>
            </w:pPr>
            <w:r>
              <w:rPr>
                <w:rFonts w:ascii="Calibri" w:eastAsia="Calibri" w:hAnsi="Calibri" w:cs="Calibri"/>
              </w:rPr>
              <w:t>Si NON :</w:t>
            </w:r>
          </w:p>
          <w:p w14:paraId="301991D3" w14:textId="77777777" w:rsidR="006A0CC3" w:rsidRDefault="00743C78">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Voir : </w:t>
            </w:r>
            <w:r>
              <w:rPr>
                <w:rFonts w:ascii="Calibri" w:eastAsia="Calibri" w:hAnsi="Calibri" w:cs="Calibri"/>
                <w:b/>
                <w:bCs/>
                <w:color w:val="000000"/>
              </w:rPr>
              <w:t>PROCÉDURES DE RAPPROCHEMENT DES ÉCARTS DE DÉSAGRÉGATION DES BALLES DE MII</w:t>
            </w:r>
          </w:p>
        </w:tc>
      </w:tr>
    </w:tbl>
    <w:p w14:paraId="68061B22" w14:textId="77777777" w:rsidR="006A0CC3" w:rsidRDefault="006A0CC3">
      <w:pPr>
        <w:spacing w:line="240" w:lineRule="auto"/>
      </w:pPr>
    </w:p>
    <w:p w14:paraId="4D4BCAEE" w14:textId="77777777" w:rsidR="006A0CC3" w:rsidRDefault="00743C78">
      <w:r>
        <w:br w:type="page"/>
      </w:r>
    </w:p>
    <w:p w14:paraId="6FB4F5A8" w14:textId="77777777" w:rsidR="006A0CC3" w:rsidRDefault="00743C78">
      <w:pPr>
        <w:spacing w:line="240" w:lineRule="auto"/>
        <w:rPr>
          <w:b/>
          <w:bCs/>
          <w:sz w:val="28"/>
          <w:szCs w:val="28"/>
        </w:rPr>
      </w:pPr>
      <w:r>
        <w:rPr>
          <w:b/>
          <w:bCs/>
          <w:sz w:val="28"/>
          <w:szCs w:val="28"/>
        </w:rPr>
        <w:lastRenderedPageBreak/>
        <w:t>Annexe : PROCÉDURES DE RAPPROCHEMENT DES ÉCARTS DE DÉSAGRÉGATION DES BALLES DE MII</w:t>
      </w:r>
    </w:p>
    <w:p w14:paraId="0C412F23" w14:textId="77777777" w:rsidR="006A0CC3" w:rsidRDefault="006A0CC3">
      <w:pPr>
        <w:spacing w:line="240" w:lineRule="auto"/>
      </w:pPr>
    </w:p>
    <w:p w14:paraId="3BBA03FE" w14:textId="77777777" w:rsidR="006A0CC3" w:rsidRDefault="00743C78">
      <w:pPr>
        <w:spacing w:line="240" w:lineRule="auto"/>
        <w:rPr>
          <w:rFonts w:ascii="Calibri" w:eastAsia="Calibri" w:hAnsi="Calibri" w:cs="Calibri"/>
        </w:rPr>
      </w:pPr>
      <w:r>
        <w:rPr>
          <w:rFonts w:ascii="Calibri" w:eastAsia="Calibri" w:hAnsi="Calibri" w:cs="Calibri"/>
        </w:rPr>
        <w:t>Lorsque les quantités de balles de MII comptabilisées ne concordent pas avec la quantité de balles attendue lors d’une désagrégation, il se peut qu’il y ait eu une erreur dans l’exactitude et la traçabilité de l’inventaire, qui doit être corrigée. De même, lorsque le décompte physique des balles de MII est correct, mais que l’enregistrement des SSCC sur le document d’expédition entrant ne concordent pas avec les SSCC scannés, cela indique un problème d’exactitude des données plutôt qu’un problème de quantité.</w:t>
      </w:r>
    </w:p>
    <w:p w14:paraId="6A37FC8A" w14:textId="77777777" w:rsidR="006A0CC3" w:rsidRDefault="006A0CC3">
      <w:pPr>
        <w:spacing w:line="240" w:lineRule="auto"/>
        <w:rPr>
          <w:rFonts w:ascii="Calibri" w:eastAsia="Calibri" w:hAnsi="Calibri" w:cs="Calibri"/>
        </w:rPr>
      </w:pPr>
    </w:p>
    <w:p w14:paraId="00E02F1A" w14:textId="77777777" w:rsidR="006A0CC3" w:rsidRDefault="00743C78">
      <w:pPr>
        <w:spacing w:line="240" w:lineRule="auto"/>
        <w:rPr>
          <w:rFonts w:ascii="Calibri" w:eastAsia="Calibri" w:hAnsi="Calibri" w:cs="Calibri"/>
        </w:rPr>
      </w:pPr>
      <w:r>
        <w:rPr>
          <w:rFonts w:ascii="Calibri" w:eastAsia="Calibri" w:hAnsi="Calibri" w:cs="Calibri"/>
        </w:rPr>
        <w:t>Les SSCC étant l’épine dorsale de la traçabilité de la chaîne d’approvisionnement des MII, les incohérences entre les SSCC devraient susciter une réponse sérieuse, car les écarts de quantité peuvent avoir des effets négatifs sur la programmation ultérieure de la chaîne d’approvisionnement des MII, en particulier dans une chaîne d’approvisionnement basée sur la numérisation.</w:t>
      </w:r>
    </w:p>
    <w:p w14:paraId="337B9A50" w14:textId="77777777" w:rsidR="006A0CC3" w:rsidRDefault="006A0CC3">
      <w:pPr>
        <w:spacing w:line="240" w:lineRule="auto"/>
        <w:rPr>
          <w:rFonts w:ascii="Calibri" w:eastAsia="Calibri" w:hAnsi="Calibri" w:cs="Calibri"/>
        </w:rPr>
      </w:pPr>
    </w:p>
    <w:p w14:paraId="27DBCCCD" w14:textId="77777777" w:rsidR="006A0CC3" w:rsidRDefault="00743C78">
      <w:pPr>
        <w:spacing w:line="240" w:lineRule="auto"/>
        <w:rPr>
          <w:rFonts w:ascii="Calibri" w:eastAsia="Calibri" w:hAnsi="Calibri" w:cs="Calibri"/>
        </w:rPr>
      </w:pPr>
      <w:r>
        <w:rPr>
          <w:rFonts w:ascii="Calibri" w:eastAsia="Calibri" w:hAnsi="Calibri" w:cs="Calibri"/>
        </w:rPr>
        <w:t>Les actions suivantes, détaillées dans le tableau ci-dessous, prises au moment de la détection d’un écart, peuvent aider à résoudre immédiatement les écarts de quantité ou les incohérences entre les SSCC et peuvent également fournir à la gestion logistique des informations précieuses pour améliorer les processus globaux de gestion des stocks, renforcer la traçabilité et réduire au minimum les erreurs futures.</w:t>
      </w:r>
    </w:p>
    <w:p w14:paraId="364C9C5E" w14:textId="77777777" w:rsidR="006A0CC3" w:rsidRDefault="006A0CC3">
      <w:pPr>
        <w:spacing w:line="240" w:lineRule="auto"/>
        <w:rPr>
          <w:rFonts w:ascii="Calibri" w:eastAsia="Calibri" w:hAnsi="Calibri" w:cs="Calibri"/>
          <w:b/>
          <w:bCs/>
        </w:rPr>
      </w:pPr>
    </w:p>
    <w:p w14:paraId="341793B5" w14:textId="77777777" w:rsidR="006A0CC3" w:rsidRDefault="00743C78">
      <w:pPr>
        <w:spacing w:line="240" w:lineRule="auto"/>
        <w:rPr>
          <w:rFonts w:ascii="Calibri" w:eastAsia="Calibri" w:hAnsi="Calibri" w:cs="Calibri"/>
        </w:rPr>
      </w:pPr>
      <w:r>
        <w:rPr>
          <w:rFonts w:ascii="Calibri" w:eastAsia="Calibri" w:hAnsi="Calibri" w:cs="Calibri"/>
        </w:rPr>
        <w:t>Arrêtez le traitement de la cargaison présentant une incohérence. N’acceptez pas les quantités ou les SSCC incohérents comme valides dans le système d’information de la chaîne d’approvisionnement et ne les considérez pas comme validées tant que l’écart n’a pas été résolu.</w:t>
      </w:r>
    </w:p>
    <w:p w14:paraId="078A68EA" w14:textId="77777777" w:rsidR="006A0CC3" w:rsidRDefault="006A0CC3">
      <w:pPr>
        <w:spacing w:line="240" w:lineRule="auto"/>
        <w:rPr>
          <w:rFonts w:ascii="Calibri" w:eastAsia="Calibri" w:hAnsi="Calibri" w:cs="Calibri"/>
        </w:rPr>
      </w:pPr>
    </w:p>
    <w:tbl>
      <w:tblPr>
        <w:tblStyle w:val="af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4"/>
        <w:gridCol w:w="2254"/>
        <w:gridCol w:w="4508"/>
      </w:tblGrid>
      <w:tr w:rsidR="006A0CC3" w14:paraId="42B6A513" w14:textId="77777777">
        <w:trPr>
          <w:tblHeader/>
        </w:trPr>
        <w:tc>
          <w:tcPr>
            <w:tcW w:w="4508" w:type="dxa"/>
            <w:gridSpan w:val="2"/>
          </w:tcPr>
          <w:p w14:paraId="63E78A89" w14:textId="77777777" w:rsidR="006A0CC3" w:rsidRDefault="00743C78">
            <w:pPr>
              <w:jc w:val="center"/>
              <w:rPr>
                <w:rFonts w:ascii="Calibri" w:eastAsia="Calibri" w:hAnsi="Calibri" w:cs="Calibri"/>
                <w:b/>
                <w:bCs/>
                <w:sz w:val="20"/>
                <w:szCs w:val="20"/>
              </w:rPr>
            </w:pPr>
            <w:r>
              <w:rPr>
                <w:rFonts w:ascii="Calibri" w:eastAsia="Calibri" w:hAnsi="Calibri" w:cs="Calibri"/>
                <w:b/>
                <w:bCs/>
                <w:sz w:val="20"/>
                <w:szCs w:val="20"/>
              </w:rPr>
              <w:t>Étape générale</w:t>
            </w:r>
          </w:p>
        </w:tc>
        <w:tc>
          <w:tcPr>
            <w:tcW w:w="4508" w:type="dxa"/>
          </w:tcPr>
          <w:p w14:paraId="44BA8615" w14:textId="77777777" w:rsidR="006A0CC3" w:rsidRDefault="00743C78">
            <w:pPr>
              <w:jc w:val="center"/>
              <w:rPr>
                <w:rFonts w:ascii="Calibri" w:eastAsia="Calibri" w:hAnsi="Calibri" w:cs="Calibri"/>
                <w:b/>
                <w:bCs/>
                <w:sz w:val="20"/>
                <w:szCs w:val="20"/>
              </w:rPr>
            </w:pPr>
            <w:r>
              <w:rPr>
                <w:rFonts w:ascii="Calibri" w:eastAsia="Calibri" w:hAnsi="Calibri" w:cs="Calibri"/>
                <w:b/>
                <w:bCs/>
                <w:sz w:val="20"/>
                <w:szCs w:val="20"/>
              </w:rPr>
              <w:t>Détail</w:t>
            </w:r>
          </w:p>
        </w:tc>
      </w:tr>
      <w:tr w:rsidR="006A0CC3" w14:paraId="5639A03B" w14:textId="77777777">
        <w:tc>
          <w:tcPr>
            <w:tcW w:w="4508" w:type="dxa"/>
            <w:gridSpan w:val="2"/>
          </w:tcPr>
          <w:p w14:paraId="73E7B4BF" w14:textId="77777777" w:rsidR="006A0CC3" w:rsidRDefault="00743C78">
            <w:pPr>
              <w:rPr>
                <w:rFonts w:ascii="Calibri" w:eastAsia="Calibri" w:hAnsi="Calibri" w:cs="Calibri"/>
                <w:b/>
                <w:bCs/>
                <w:sz w:val="20"/>
                <w:szCs w:val="20"/>
              </w:rPr>
            </w:pPr>
            <w:r>
              <w:rPr>
                <w:rFonts w:ascii="Calibri" w:eastAsia="Calibri" w:hAnsi="Calibri" w:cs="Calibri"/>
                <w:b/>
                <w:bCs/>
                <w:sz w:val="20"/>
                <w:szCs w:val="20"/>
              </w:rPr>
              <w:t>VÉRIFIER LE DÉCOMPTE (SSCC)</w:t>
            </w:r>
          </w:p>
        </w:tc>
        <w:tc>
          <w:tcPr>
            <w:tcW w:w="4508" w:type="dxa"/>
          </w:tcPr>
          <w:p w14:paraId="1B0E0457" w14:textId="77777777" w:rsidR="006A0CC3" w:rsidRDefault="00743C78">
            <w:pPr>
              <w:numPr>
                <w:ilvl w:val="0"/>
                <w:numId w:val="19"/>
              </w:numPr>
              <w:spacing w:line="240" w:lineRule="auto"/>
              <w:ind w:left="357" w:hanging="357"/>
              <w:rPr>
                <w:rFonts w:ascii="Calibri" w:eastAsia="Calibri" w:hAnsi="Calibri" w:cs="Calibri"/>
                <w:sz w:val="20"/>
                <w:szCs w:val="20"/>
              </w:rPr>
            </w:pPr>
            <w:r>
              <w:rPr>
                <w:rFonts w:ascii="Calibri" w:eastAsia="Calibri" w:hAnsi="Calibri" w:cs="Calibri"/>
                <w:sz w:val="20"/>
                <w:szCs w:val="20"/>
              </w:rPr>
              <w:t>Recompter physiquement : Recompter les balles de MII qui devaient être désagrégées à partir du véhicule qui les livre.</w:t>
            </w:r>
          </w:p>
          <w:p w14:paraId="03C94850" w14:textId="77777777" w:rsidR="006A0CC3" w:rsidRDefault="00743C78">
            <w:pPr>
              <w:numPr>
                <w:ilvl w:val="0"/>
                <w:numId w:val="19"/>
              </w:numPr>
              <w:spacing w:line="240" w:lineRule="auto"/>
              <w:ind w:left="357" w:hanging="357"/>
              <w:rPr>
                <w:rFonts w:ascii="Calibri" w:eastAsia="Calibri" w:hAnsi="Calibri" w:cs="Calibri"/>
                <w:sz w:val="20"/>
                <w:szCs w:val="20"/>
              </w:rPr>
            </w:pPr>
            <w:r>
              <w:rPr>
                <w:rFonts w:ascii="Calibri" w:eastAsia="Calibri" w:hAnsi="Calibri" w:cs="Calibri"/>
                <w:sz w:val="20"/>
                <w:szCs w:val="20"/>
              </w:rPr>
              <w:t>Scanner de nouveau les SSCC incohérents : Veiller à la bonne qualité du scannage.</w:t>
            </w:r>
          </w:p>
          <w:p w14:paraId="5BE7DC35" w14:textId="77777777" w:rsidR="006A0CC3" w:rsidRDefault="00743C78">
            <w:pPr>
              <w:numPr>
                <w:ilvl w:val="0"/>
                <w:numId w:val="19"/>
              </w:numPr>
              <w:spacing w:line="240" w:lineRule="auto"/>
              <w:ind w:left="357" w:hanging="357"/>
              <w:rPr>
                <w:rFonts w:ascii="Calibri" w:eastAsia="Calibri" w:hAnsi="Calibri" w:cs="Calibri"/>
                <w:sz w:val="20"/>
                <w:szCs w:val="20"/>
              </w:rPr>
            </w:pPr>
            <w:r>
              <w:rPr>
                <w:rFonts w:ascii="Calibri" w:eastAsia="Calibri" w:hAnsi="Calibri" w:cs="Calibri"/>
                <w:sz w:val="20"/>
                <w:szCs w:val="20"/>
              </w:rPr>
              <w:t>Vérification manuelle : Si le scannage pose problème, vérifier manuellement les parties visibles par l’œil humain des SSCC sur les balles de MII.</w:t>
            </w:r>
          </w:p>
          <w:p w14:paraId="68F7D177" w14:textId="77777777" w:rsidR="006A0CC3" w:rsidRDefault="00743C78">
            <w:pPr>
              <w:numPr>
                <w:ilvl w:val="0"/>
                <w:numId w:val="19"/>
              </w:numPr>
              <w:spacing w:line="240" w:lineRule="auto"/>
              <w:ind w:left="357" w:hanging="357"/>
              <w:rPr>
                <w:rFonts w:ascii="Calibri" w:eastAsia="Calibri" w:hAnsi="Calibri" w:cs="Calibri"/>
                <w:sz w:val="20"/>
                <w:szCs w:val="20"/>
              </w:rPr>
            </w:pPr>
            <w:r>
              <w:rPr>
                <w:rFonts w:ascii="Calibri" w:eastAsia="Calibri" w:hAnsi="Calibri" w:cs="Calibri"/>
                <w:sz w:val="20"/>
                <w:szCs w:val="20"/>
              </w:rPr>
              <w:t>Enregistrer l’écart : Noter les détails concernant les SSCC manquants dans la cargaison physique, et les SSCC inattendus qui sont présents.</w:t>
            </w:r>
          </w:p>
          <w:p w14:paraId="062BB7DF" w14:textId="77777777" w:rsidR="006A0CC3" w:rsidRDefault="00743C78">
            <w:pPr>
              <w:numPr>
                <w:ilvl w:val="0"/>
                <w:numId w:val="19"/>
              </w:numPr>
              <w:spacing w:line="240" w:lineRule="auto"/>
              <w:ind w:left="357" w:hanging="357"/>
              <w:rPr>
                <w:rFonts w:ascii="Calibri" w:eastAsia="Calibri" w:hAnsi="Calibri" w:cs="Calibri"/>
                <w:sz w:val="20"/>
                <w:szCs w:val="20"/>
              </w:rPr>
            </w:pPr>
            <w:r>
              <w:rPr>
                <w:rFonts w:ascii="Calibri" w:eastAsia="Calibri" w:hAnsi="Calibri" w:cs="Calibri"/>
                <w:sz w:val="20"/>
                <w:szCs w:val="20"/>
              </w:rPr>
              <w:t>Enregistrer la date, l’heure et les personnes concernées.</w:t>
            </w:r>
          </w:p>
        </w:tc>
      </w:tr>
      <w:tr w:rsidR="006A0CC3" w14:paraId="60AAFA1B" w14:textId="77777777">
        <w:tc>
          <w:tcPr>
            <w:tcW w:w="2254" w:type="dxa"/>
            <w:vMerge w:val="restart"/>
          </w:tcPr>
          <w:p w14:paraId="7BC4D670" w14:textId="77777777" w:rsidR="006A0CC3" w:rsidRDefault="00743C78">
            <w:pPr>
              <w:rPr>
                <w:rFonts w:ascii="Calibri" w:eastAsia="Calibri" w:hAnsi="Calibri" w:cs="Calibri"/>
                <w:b/>
                <w:bCs/>
                <w:sz w:val="20"/>
                <w:szCs w:val="20"/>
              </w:rPr>
            </w:pPr>
            <w:r>
              <w:rPr>
                <w:rFonts w:ascii="Calibri" w:eastAsia="Calibri" w:hAnsi="Calibri" w:cs="Calibri"/>
                <w:b/>
                <w:bCs/>
                <w:sz w:val="20"/>
                <w:szCs w:val="20"/>
              </w:rPr>
              <w:t>RECHERCHER LA CAUSE PREMIÈRE</w:t>
            </w:r>
          </w:p>
        </w:tc>
        <w:tc>
          <w:tcPr>
            <w:tcW w:w="2254" w:type="dxa"/>
          </w:tcPr>
          <w:p w14:paraId="4963932E" w14:textId="77777777" w:rsidR="006A0CC3" w:rsidRDefault="00743C78">
            <w:pPr>
              <w:rPr>
                <w:rFonts w:ascii="Calibri" w:eastAsia="Calibri" w:hAnsi="Calibri" w:cs="Calibri"/>
                <w:sz w:val="20"/>
                <w:szCs w:val="20"/>
              </w:rPr>
            </w:pPr>
            <w:r>
              <w:rPr>
                <w:rFonts w:ascii="Calibri" w:eastAsia="Calibri" w:hAnsi="Calibri" w:cs="Calibri"/>
                <w:sz w:val="20"/>
                <w:szCs w:val="20"/>
              </w:rPr>
              <w:t>Erreurs internes</w:t>
            </w:r>
          </w:p>
        </w:tc>
        <w:tc>
          <w:tcPr>
            <w:tcW w:w="4508" w:type="dxa"/>
          </w:tcPr>
          <w:p w14:paraId="0C12155E"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Procédures de réception : Le personnel chargé de la réception a-t-il suivi les procédures correctes ? Une étape a-t-elle été sautée ou mal comprise ?</w:t>
            </w:r>
          </w:p>
          <w:p w14:paraId="2CCA7FD5"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Erreurs de décompte : Le décompte initial lors de la désagrégation était-il incorrect ?</w:t>
            </w:r>
          </w:p>
          <w:p w14:paraId="6F96C932"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Erreurs de scannage : Le support de données a-t-il été mal scanné ou n’a-t-il pas été scanné du tout ?</w:t>
            </w:r>
          </w:p>
          <w:p w14:paraId="06B1738F"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 xml:space="preserve">Saisie de données incorrectes : Les données ont-elles été saisies manuellement de manière incorrecte à un moment ou à un autre de la désagrégation ? </w:t>
            </w:r>
          </w:p>
        </w:tc>
      </w:tr>
      <w:tr w:rsidR="006A0CC3" w14:paraId="51E8B517" w14:textId="77777777">
        <w:tc>
          <w:tcPr>
            <w:tcW w:w="2254" w:type="dxa"/>
            <w:vMerge/>
          </w:tcPr>
          <w:p w14:paraId="1A49D0C0" w14:textId="77777777" w:rsidR="006A0CC3" w:rsidRDefault="006A0CC3">
            <w:pPr>
              <w:widowControl w:val="0"/>
              <w:pBdr>
                <w:top w:val="nil"/>
                <w:left w:val="nil"/>
                <w:bottom w:val="nil"/>
                <w:right w:val="nil"/>
                <w:between w:val="nil"/>
              </w:pBdr>
              <w:rPr>
                <w:rFonts w:ascii="Calibri" w:eastAsia="Calibri" w:hAnsi="Calibri" w:cs="Calibri"/>
                <w:sz w:val="20"/>
                <w:szCs w:val="20"/>
              </w:rPr>
            </w:pPr>
          </w:p>
        </w:tc>
        <w:tc>
          <w:tcPr>
            <w:tcW w:w="2254" w:type="dxa"/>
          </w:tcPr>
          <w:p w14:paraId="1CDA21A8" w14:textId="77777777" w:rsidR="006A0CC3" w:rsidRDefault="00743C78">
            <w:pPr>
              <w:rPr>
                <w:rFonts w:ascii="Calibri" w:eastAsia="Calibri" w:hAnsi="Calibri" w:cs="Calibri"/>
                <w:sz w:val="20"/>
                <w:szCs w:val="20"/>
              </w:rPr>
            </w:pPr>
            <w:r>
              <w:rPr>
                <w:rFonts w:ascii="Calibri" w:eastAsia="Calibri" w:hAnsi="Calibri" w:cs="Calibri"/>
                <w:sz w:val="20"/>
                <w:szCs w:val="20"/>
              </w:rPr>
              <w:t>Problèmes de système</w:t>
            </w:r>
          </w:p>
        </w:tc>
        <w:tc>
          <w:tcPr>
            <w:tcW w:w="4508" w:type="dxa"/>
          </w:tcPr>
          <w:p w14:paraId="7749DD94"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Dysfonctionnement du matériel : Les scanners de supports de données fonctionnent-ils correctement ? La lecture de certains supports de données pose-t-elle des problèmes ?</w:t>
            </w:r>
          </w:p>
          <w:p w14:paraId="67C675C4"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Problèmes de logiciel : Le logiciel de la chaîne d’approvisionnement des MII pose-t-il des problèmes qui entraînent une corruption des données et/ou un traitement incorrect ?</w:t>
            </w:r>
          </w:p>
          <w:p w14:paraId="43A0DBE9"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Concordance entre les SSCC : Le système de gestion de la chaîne d’approvisionnement des MII établit-il une concordance exacte entre les SSCC entrants et les SSCC figurant sur le document d’expédition ?</w:t>
            </w:r>
          </w:p>
          <w:p w14:paraId="0D214F37"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Problèmes d’intégration : Si les documents d’expédition sont intégrés électroniquement dans le logiciel de gestion de la chaîne d’approvisionnement des MII, le transfert des données depuis le système du fournisseur pose-t-il un problème ?</w:t>
            </w:r>
          </w:p>
        </w:tc>
      </w:tr>
      <w:tr w:rsidR="006A0CC3" w14:paraId="6BDDBAEE" w14:textId="77777777">
        <w:tc>
          <w:tcPr>
            <w:tcW w:w="2254" w:type="dxa"/>
            <w:vMerge/>
          </w:tcPr>
          <w:p w14:paraId="67781177" w14:textId="77777777" w:rsidR="006A0CC3" w:rsidRDefault="006A0CC3">
            <w:pPr>
              <w:widowControl w:val="0"/>
              <w:pBdr>
                <w:top w:val="nil"/>
                <w:left w:val="nil"/>
                <w:bottom w:val="nil"/>
                <w:right w:val="nil"/>
                <w:between w:val="nil"/>
              </w:pBdr>
              <w:rPr>
                <w:rFonts w:ascii="Calibri" w:eastAsia="Calibri" w:hAnsi="Calibri" w:cs="Calibri"/>
                <w:sz w:val="20"/>
                <w:szCs w:val="20"/>
              </w:rPr>
            </w:pPr>
          </w:p>
        </w:tc>
        <w:tc>
          <w:tcPr>
            <w:tcW w:w="2254" w:type="dxa"/>
          </w:tcPr>
          <w:p w14:paraId="0442E178" w14:textId="77777777" w:rsidR="006A0CC3" w:rsidRDefault="00743C78">
            <w:pPr>
              <w:rPr>
                <w:rFonts w:ascii="Calibri" w:eastAsia="Calibri" w:hAnsi="Calibri" w:cs="Calibri"/>
                <w:sz w:val="20"/>
                <w:szCs w:val="20"/>
              </w:rPr>
            </w:pPr>
            <w:r>
              <w:rPr>
                <w:rFonts w:ascii="Calibri" w:eastAsia="Calibri" w:hAnsi="Calibri" w:cs="Calibri"/>
                <w:sz w:val="20"/>
                <w:szCs w:val="20"/>
              </w:rPr>
              <w:t>Facteurs externes. Examiner les documents de la désagrégation à l’origine de la cargaison si ceux-ci sont disponibles</w:t>
            </w:r>
          </w:p>
        </w:tc>
        <w:tc>
          <w:tcPr>
            <w:tcW w:w="4508" w:type="dxa"/>
          </w:tcPr>
          <w:p w14:paraId="14D066E7"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Le fournisseur/expéditeur a-t-il procédé à une livraison insuffisante, à une livraison excessive ou à l’emballage d’articles incorrects dans l’unité agrégée ?</w:t>
            </w:r>
          </w:p>
          <w:p w14:paraId="1A086923"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Le fournisseur/expéditeur a-t-il substitué des SSCC ? y a-t-il eu des changements de dernière minute qui n’ont pas été pris en compte dans les documents d’expédition ?</w:t>
            </w:r>
          </w:p>
          <w:p w14:paraId="4FB6268D"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L’étiquette d’une balle de MII était-elle dépourvue de son support de données, l’empêchant d’être scannée ?</w:t>
            </w:r>
          </w:p>
          <w:p w14:paraId="19F1C9F7"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 xml:space="preserve">Si le décompte total est correct, est-il possible que des unités spécifiques identifiées par le SSCC aient été perdues et remplacées par d’autres balles de MII ? </w:t>
            </w:r>
          </w:p>
        </w:tc>
      </w:tr>
      <w:tr w:rsidR="006A0CC3" w14:paraId="2561FCDE" w14:textId="77777777">
        <w:tc>
          <w:tcPr>
            <w:tcW w:w="2254" w:type="dxa"/>
            <w:vMerge/>
          </w:tcPr>
          <w:p w14:paraId="34593120" w14:textId="77777777" w:rsidR="006A0CC3" w:rsidRDefault="006A0CC3">
            <w:pPr>
              <w:widowControl w:val="0"/>
              <w:pBdr>
                <w:top w:val="nil"/>
                <w:left w:val="nil"/>
                <w:bottom w:val="nil"/>
                <w:right w:val="nil"/>
                <w:between w:val="nil"/>
              </w:pBdr>
              <w:rPr>
                <w:rFonts w:ascii="Calibri" w:eastAsia="Calibri" w:hAnsi="Calibri" w:cs="Calibri"/>
                <w:sz w:val="20"/>
                <w:szCs w:val="20"/>
              </w:rPr>
            </w:pPr>
          </w:p>
        </w:tc>
        <w:tc>
          <w:tcPr>
            <w:tcW w:w="2254" w:type="dxa"/>
          </w:tcPr>
          <w:p w14:paraId="5CBE6B6B" w14:textId="77777777" w:rsidR="006A0CC3" w:rsidRDefault="00743C78">
            <w:pPr>
              <w:rPr>
                <w:rFonts w:ascii="Calibri" w:eastAsia="Calibri" w:hAnsi="Calibri" w:cs="Calibri"/>
                <w:sz w:val="20"/>
                <w:szCs w:val="20"/>
              </w:rPr>
            </w:pPr>
            <w:r>
              <w:rPr>
                <w:rFonts w:ascii="Calibri" w:eastAsia="Calibri" w:hAnsi="Calibri" w:cs="Calibri"/>
                <w:sz w:val="20"/>
                <w:szCs w:val="20"/>
              </w:rPr>
              <w:t>Déterminer quel est l’enregistrement exact</w:t>
            </w:r>
          </w:p>
        </w:tc>
        <w:tc>
          <w:tcPr>
            <w:tcW w:w="4508" w:type="dxa"/>
          </w:tcPr>
          <w:p w14:paraId="102BDD10"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Confirmation du fournisseur : Si le fournisseur/expéditeur confirme quels SSCC ont été effectivement expédiés et que ses enregistrements concordent avec l’enregistrement physique de ce qui a été désagrégé, l’enregistrement de la quantité attendue à recevoir était probablement erroné.</w:t>
            </w:r>
          </w:p>
          <w:p w14:paraId="7DCC6595" w14:textId="77777777" w:rsidR="006A0CC3" w:rsidRDefault="00743C78">
            <w:pPr>
              <w:numPr>
                <w:ilvl w:val="0"/>
                <w:numId w:val="19"/>
              </w:numPr>
              <w:spacing w:line="240" w:lineRule="auto"/>
              <w:rPr>
                <w:rFonts w:ascii="Calibri" w:eastAsia="Calibri" w:hAnsi="Calibri" w:cs="Calibri"/>
                <w:sz w:val="20"/>
                <w:szCs w:val="20"/>
              </w:rPr>
            </w:pPr>
            <w:r>
              <w:rPr>
                <w:rFonts w:ascii="Calibri" w:eastAsia="Calibri" w:hAnsi="Calibri" w:cs="Calibri"/>
                <w:sz w:val="20"/>
                <w:szCs w:val="20"/>
              </w:rPr>
              <w:t>Primauté des données : Si le fournisseur/expéditeur ne peut pas fournir de documentation ou d’explications claires et que les SSCC ont été soigneusement revérifiés, l’enregistrement de la capture physique des données peut devenir l’enregistrement qui fait autorité.</w:t>
            </w:r>
          </w:p>
        </w:tc>
      </w:tr>
      <w:tr w:rsidR="006A0CC3" w14:paraId="348751FB" w14:textId="77777777">
        <w:tc>
          <w:tcPr>
            <w:tcW w:w="2254" w:type="dxa"/>
            <w:vMerge/>
          </w:tcPr>
          <w:p w14:paraId="3B2E8E51" w14:textId="77777777" w:rsidR="006A0CC3" w:rsidRDefault="006A0CC3">
            <w:pPr>
              <w:widowControl w:val="0"/>
              <w:pBdr>
                <w:top w:val="nil"/>
                <w:left w:val="nil"/>
                <w:bottom w:val="nil"/>
                <w:right w:val="nil"/>
                <w:between w:val="nil"/>
              </w:pBdr>
              <w:rPr>
                <w:rFonts w:ascii="Calibri" w:eastAsia="Calibri" w:hAnsi="Calibri" w:cs="Calibri"/>
                <w:sz w:val="20"/>
                <w:szCs w:val="20"/>
              </w:rPr>
            </w:pPr>
          </w:p>
        </w:tc>
        <w:tc>
          <w:tcPr>
            <w:tcW w:w="2254" w:type="dxa"/>
          </w:tcPr>
          <w:p w14:paraId="04167FB6" w14:textId="77777777" w:rsidR="006A0CC3" w:rsidRDefault="00743C78">
            <w:pPr>
              <w:rPr>
                <w:rFonts w:ascii="Calibri" w:eastAsia="Calibri" w:hAnsi="Calibri" w:cs="Calibri"/>
                <w:sz w:val="20"/>
                <w:szCs w:val="20"/>
              </w:rPr>
            </w:pPr>
            <w:r>
              <w:rPr>
                <w:rFonts w:ascii="Calibri" w:eastAsia="Calibri" w:hAnsi="Calibri" w:cs="Calibri"/>
                <w:sz w:val="20"/>
                <w:szCs w:val="20"/>
              </w:rPr>
              <w:t>Ajuster les enregistrements du système de gestion de la chaîne d’approvisionnement des MII</w:t>
            </w:r>
          </w:p>
        </w:tc>
        <w:tc>
          <w:tcPr>
            <w:tcW w:w="4508" w:type="dxa"/>
          </w:tcPr>
          <w:p w14:paraId="6E2E2B20"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Supprimer les SSCC qui figuraient sur les documents originaux relatifs à l’expédition, mais qui n’ont pas été reçus, ou ajouter les SSCC qui ont été reçus, mais qui ne figuraient pas sur les documents originaux relatifs à l’expédition.</w:t>
            </w:r>
          </w:p>
          <w:p w14:paraId="7C396BCC"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lastRenderedPageBreak/>
              <w:t>Documenter le SSCC ou l’écart de décompte, la cause première et l’action corrective prise pour créer une piste d’audit et fournir les données de base pour l’amélioration future du processus.</w:t>
            </w:r>
          </w:p>
          <w:p w14:paraId="41E97702"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Apporter les ajustements nécessaires au système logiciel de la chaîne d’approvisionnement des MII afin de refléter le décompte physique réel des articles désagrégés.</w:t>
            </w:r>
          </w:p>
        </w:tc>
      </w:tr>
      <w:tr w:rsidR="006A0CC3" w14:paraId="07CA3F48" w14:textId="77777777">
        <w:tc>
          <w:tcPr>
            <w:tcW w:w="2254" w:type="dxa"/>
            <w:vMerge/>
          </w:tcPr>
          <w:p w14:paraId="4660E43F" w14:textId="77777777" w:rsidR="006A0CC3" w:rsidRDefault="006A0CC3">
            <w:pPr>
              <w:widowControl w:val="0"/>
              <w:pBdr>
                <w:top w:val="nil"/>
                <w:left w:val="nil"/>
                <w:bottom w:val="nil"/>
                <w:right w:val="nil"/>
                <w:between w:val="nil"/>
              </w:pBdr>
              <w:rPr>
                <w:rFonts w:ascii="Calibri" w:eastAsia="Calibri" w:hAnsi="Calibri" w:cs="Calibri"/>
                <w:sz w:val="20"/>
                <w:szCs w:val="20"/>
              </w:rPr>
            </w:pPr>
          </w:p>
        </w:tc>
        <w:tc>
          <w:tcPr>
            <w:tcW w:w="2254" w:type="dxa"/>
          </w:tcPr>
          <w:p w14:paraId="0E212B78" w14:textId="77777777" w:rsidR="006A0CC3" w:rsidRDefault="00743C78">
            <w:pPr>
              <w:rPr>
                <w:rFonts w:ascii="Calibri" w:eastAsia="Calibri" w:hAnsi="Calibri" w:cs="Calibri"/>
                <w:sz w:val="20"/>
                <w:szCs w:val="20"/>
              </w:rPr>
            </w:pPr>
            <w:r>
              <w:rPr>
                <w:rFonts w:ascii="Calibri" w:eastAsia="Calibri" w:hAnsi="Calibri" w:cs="Calibri"/>
                <w:sz w:val="20"/>
                <w:szCs w:val="20"/>
              </w:rPr>
              <w:t>Suivi</w:t>
            </w:r>
          </w:p>
        </w:tc>
        <w:tc>
          <w:tcPr>
            <w:tcW w:w="4508" w:type="dxa"/>
          </w:tcPr>
          <w:p w14:paraId="298D4142"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Informer les responsables des achats/de l’approvisionnement pour s’assurer qu’ils sont au courant de l’écart, en particulier s’il s’agit d’un problème récurrent avec un fournisseur ou un expéditeur spécifique.</w:t>
            </w:r>
          </w:p>
          <w:p w14:paraId="2B0D5054"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Informer le personnel chargé de la comptabilité ou de la gestion des contrats, afin qu’il puisse procéder aux ajustements nécessaires de l’évaluation des stocks ou des paiements aux fournisseurs.</w:t>
            </w:r>
          </w:p>
          <w:p w14:paraId="38CF67B4"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Si le problème provient du fabricant, du fournisseur ou du transporteur, procurer au fournisseur/expéditeur un relevé des SSCC attendus par rapport aux SSCC reçus ou des quantités attendues par rapport aux quantités reçues, et entamer une procédure de réclamation ou de résolution des litiges.</w:t>
            </w:r>
          </w:p>
        </w:tc>
      </w:tr>
      <w:tr w:rsidR="006A0CC3" w14:paraId="5838DE5F" w14:textId="77777777">
        <w:tc>
          <w:tcPr>
            <w:tcW w:w="2254" w:type="dxa"/>
          </w:tcPr>
          <w:p w14:paraId="74EA6D4B" w14:textId="77777777" w:rsidR="006A0CC3" w:rsidRDefault="003F1E34">
            <w:pPr>
              <w:rPr>
                <w:rFonts w:ascii="Calibri" w:eastAsia="Calibri" w:hAnsi="Calibri" w:cs="Calibri"/>
                <w:b/>
                <w:bCs/>
                <w:sz w:val="20"/>
                <w:szCs w:val="20"/>
              </w:rPr>
            </w:pPr>
            <w:sdt>
              <w:sdtPr>
                <w:tag w:val="goog_rdk_20"/>
                <w:id w:val="373115942"/>
              </w:sdtPr>
              <w:sdtEndPr/>
              <w:sdtContent/>
            </w:sdt>
            <w:sdt>
              <w:sdtPr>
                <w:tag w:val="goog_rdk_21"/>
                <w:id w:val="-1437625998"/>
              </w:sdtPr>
              <w:sdtEndPr/>
              <w:sdtContent/>
            </w:sdt>
            <w:sdt>
              <w:sdtPr>
                <w:tag w:val="goog_rdk_22"/>
                <w:id w:val="-927909513"/>
              </w:sdtPr>
              <w:sdtEndPr/>
              <w:sdtContent/>
            </w:sdt>
            <w:r w:rsidR="00743C78">
              <w:rPr>
                <w:rFonts w:ascii="Calibri" w:eastAsia="Calibri" w:hAnsi="Calibri" w:cs="Calibri"/>
                <w:b/>
                <w:bCs/>
                <w:sz w:val="20"/>
                <w:szCs w:val="20"/>
              </w:rPr>
              <w:t>MESURES PRÉVENTIVES</w:t>
            </w:r>
          </w:p>
        </w:tc>
        <w:tc>
          <w:tcPr>
            <w:tcW w:w="2254" w:type="dxa"/>
          </w:tcPr>
          <w:p w14:paraId="606FC2AA" w14:textId="77777777" w:rsidR="006A0CC3" w:rsidRDefault="00743C78">
            <w:pPr>
              <w:rPr>
                <w:rFonts w:ascii="Calibri" w:eastAsia="Calibri" w:hAnsi="Calibri" w:cs="Calibri"/>
                <w:sz w:val="20"/>
                <w:szCs w:val="20"/>
              </w:rPr>
            </w:pPr>
            <w:r>
              <w:rPr>
                <w:rFonts w:ascii="Calibri" w:eastAsia="Calibri" w:hAnsi="Calibri" w:cs="Calibri"/>
                <w:sz w:val="20"/>
                <w:szCs w:val="20"/>
              </w:rPr>
              <w:t>Révision des processus et formation</w:t>
            </w:r>
          </w:p>
        </w:tc>
        <w:tc>
          <w:tcPr>
            <w:tcW w:w="4508" w:type="dxa"/>
          </w:tcPr>
          <w:p w14:paraId="3A8BEDAB"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Réviser et mettre à jour les POS pour la réception, le désagrégation et l’agrégation.</w:t>
            </w:r>
          </w:p>
          <w:p w14:paraId="252980E8"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Former et recycler régulièrement le personnel aux techniques de capture de données, aux méthodes de comptage et aux procédures d’enregistrement des écarts.</w:t>
            </w:r>
          </w:p>
          <w:p w14:paraId="4442F835"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Envisager de mettre en place une étape de vérification à deux personnes lors des principales actions de désagrégation des MII.</w:t>
            </w:r>
          </w:p>
        </w:tc>
      </w:tr>
      <w:tr w:rsidR="006A0CC3" w14:paraId="53416BDC" w14:textId="77777777">
        <w:tc>
          <w:tcPr>
            <w:tcW w:w="2254" w:type="dxa"/>
          </w:tcPr>
          <w:p w14:paraId="18B7C98A" w14:textId="77777777" w:rsidR="006A0CC3" w:rsidRDefault="006A0CC3">
            <w:pPr>
              <w:rPr>
                <w:rFonts w:ascii="Calibri" w:eastAsia="Calibri" w:hAnsi="Calibri" w:cs="Calibri"/>
                <w:sz w:val="20"/>
                <w:szCs w:val="20"/>
              </w:rPr>
            </w:pPr>
          </w:p>
        </w:tc>
        <w:tc>
          <w:tcPr>
            <w:tcW w:w="2254" w:type="dxa"/>
          </w:tcPr>
          <w:p w14:paraId="5DBB839B" w14:textId="77777777" w:rsidR="006A0CC3" w:rsidRDefault="00743C78">
            <w:pPr>
              <w:rPr>
                <w:rFonts w:ascii="Calibri" w:eastAsia="Calibri" w:hAnsi="Calibri" w:cs="Calibri"/>
                <w:sz w:val="20"/>
                <w:szCs w:val="20"/>
              </w:rPr>
            </w:pPr>
            <w:r>
              <w:rPr>
                <w:rFonts w:ascii="Calibri" w:eastAsia="Calibri" w:hAnsi="Calibri" w:cs="Calibri"/>
                <w:sz w:val="20"/>
                <w:szCs w:val="20"/>
              </w:rPr>
              <w:t>Technologie</w:t>
            </w:r>
          </w:p>
        </w:tc>
        <w:tc>
          <w:tcPr>
            <w:tcW w:w="4508" w:type="dxa"/>
          </w:tcPr>
          <w:p w14:paraId="7DB4AE4B"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S’assurer que les scanners fonctionnent correctement.</w:t>
            </w:r>
          </w:p>
          <w:p w14:paraId="178F5D0C"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Exploiter les fonctionnalités du logiciel de chaîne d’approvisionnement qui facilitent le rapprochement, telles que la validation en temps réel, les alertes en cas d’écarts et les rapports détaillés sur les variations de stocks.</w:t>
            </w:r>
          </w:p>
          <w:p w14:paraId="71F15B1D"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Vérifier régulièrement les intégrations de données entre les systèmes, afin de s’assurer que les données circulent de manière précise et complète.</w:t>
            </w:r>
          </w:p>
        </w:tc>
      </w:tr>
      <w:tr w:rsidR="006A0CC3" w14:paraId="74F28802" w14:textId="77777777">
        <w:tc>
          <w:tcPr>
            <w:tcW w:w="2254" w:type="dxa"/>
          </w:tcPr>
          <w:p w14:paraId="0FD3A85F" w14:textId="77777777" w:rsidR="006A0CC3" w:rsidRDefault="006A0CC3">
            <w:pPr>
              <w:rPr>
                <w:rFonts w:ascii="Calibri" w:eastAsia="Calibri" w:hAnsi="Calibri" w:cs="Calibri"/>
                <w:sz w:val="20"/>
                <w:szCs w:val="20"/>
              </w:rPr>
            </w:pPr>
          </w:p>
        </w:tc>
        <w:tc>
          <w:tcPr>
            <w:tcW w:w="2254" w:type="dxa"/>
          </w:tcPr>
          <w:p w14:paraId="45EF08FF" w14:textId="77777777" w:rsidR="006A0CC3" w:rsidRDefault="00743C78">
            <w:pPr>
              <w:rPr>
                <w:rFonts w:ascii="Calibri" w:eastAsia="Calibri" w:hAnsi="Calibri" w:cs="Calibri"/>
                <w:sz w:val="20"/>
                <w:szCs w:val="20"/>
              </w:rPr>
            </w:pPr>
            <w:r>
              <w:rPr>
                <w:rFonts w:ascii="Calibri" w:eastAsia="Calibri" w:hAnsi="Calibri" w:cs="Calibri"/>
                <w:sz w:val="20"/>
                <w:szCs w:val="20"/>
              </w:rPr>
              <w:t>Gestion des prestations des fournisseurs</w:t>
            </w:r>
          </w:p>
        </w:tc>
        <w:tc>
          <w:tcPr>
            <w:tcW w:w="4508" w:type="dxa"/>
          </w:tcPr>
          <w:p w14:paraId="7E38F939"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Suivre les taux d’exactitude des fournisseurs (fabricants et expéditeurs).</w:t>
            </w:r>
          </w:p>
          <w:p w14:paraId="6ABDF0B2"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Mettre en œuvre des plans d’action correctifs en cas d’écarts fréquents.</w:t>
            </w:r>
          </w:p>
          <w:p w14:paraId="13C7D993" w14:textId="77777777" w:rsidR="006A0CC3" w:rsidRDefault="00743C78">
            <w:pPr>
              <w:numPr>
                <w:ilvl w:val="0"/>
                <w:numId w:val="17"/>
              </w:numPr>
              <w:spacing w:line="240" w:lineRule="auto"/>
              <w:rPr>
                <w:rFonts w:ascii="Calibri" w:eastAsia="Calibri" w:hAnsi="Calibri" w:cs="Calibri"/>
                <w:sz w:val="20"/>
                <w:szCs w:val="20"/>
              </w:rPr>
            </w:pPr>
            <w:r>
              <w:rPr>
                <w:rFonts w:ascii="Calibri" w:eastAsia="Calibri" w:hAnsi="Calibri" w:cs="Calibri"/>
                <w:sz w:val="20"/>
                <w:szCs w:val="20"/>
              </w:rPr>
              <w:t>Pour les fournisseurs qui posent problème, envisager des inspections avant expédition ou une vérification par un tiers.</w:t>
            </w:r>
          </w:p>
        </w:tc>
      </w:tr>
    </w:tbl>
    <w:p w14:paraId="1758A9FE" w14:textId="77777777" w:rsidR="006A0CC3" w:rsidRDefault="006A0CC3">
      <w:pPr>
        <w:spacing w:line="240" w:lineRule="auto"/>
      </w:pPr>
    </w:p>
    <w:sectPr w:rsidR="006A0CC3">
      <w:footerReference w:type="default" r:id="rId10"/>
      <w:headerReference w:type="first" r:id="rId11"/>
      <w:footerReference w:type="first" r:id="rId12"/>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A7F96" w14:textId="77777777" w:rsidR="00743C78" w:rsidRDefault="00743C78">
      <w:pPr>
        <w:spacing w:line="240" w:lineRule="auto"/>
      </w:pPr>
      <w:r>
        <w:separator/>
      </w:r>
    </w:p>
  </w:endnote>
  <w:endnote w:type="continuationSeparator" w:id="0">
    <w:p w14:paraId="1CA0692A" w14:textId="77777777" w:rsidR="00743C78" w:rsidRDefault="00743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35E0943-7AC4-44AE-8514-6E4474A9F04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altName w:val="Cambria"/>
    <w:charset w:val="00"/>
    <w:family w:val="auto"/>
    <w:pitch w:val="default"/>
    <w:embedRegular r:id="rId2" w:fontKey="{2F4FF254-2255-4B6A-B64F-D2D9B8000ED6}"/>
  </w:font>
  <w:font w:name="Aptos Display">
    <w:charset w:val="00"/>
    <w:family w:val="swiss"/>
    <w:pitch w:val="variable"/>
    <w:sig w:usb0="20000287" w:usb1="00000003" w:usb2="00000000" w:usb3="00000000" w:csb0="0000019F" w:csb1="00000000"/>
    <w:embedRegular r:id="rId3" w:fontKey="{A2A2C494-7418-4B56-9A34-B613EAE90A8A}"/>
  </w:font>
  <w:font w:name="Aptos">
    <w:charset w:val="00"/>
    <w:family w:val="swiss"/>
    <w:pitch w:val="variable"/>
    <w:sig w:usb0="20000287" w:usb1="00000003" w:usb2="00000000" w:usb3="00000000" w:csb0="0000019F" w:csb1="00000000"/>
    <w:embedRegular r:id="rId4" w:fontKey="{2FA7BDF9-6DC3-4DCD-B61E-DF79C84EEAC7}"/>
    <w:embedBold r:id="rId5" w:fontKey="{0C4EF085-9C2B-42C3-BFBE-3B52334D0DC1}"/>
  </w:font>
  <w:font w:name="Calibri">
    <w:panose1 w:val="020F0502020204030204"/>
    <w:charset w:val="00"/>
    <w:family w:val="swiss"/>
    <w:pitch w:val="variable"/>
    <w:sig w:usb0="E4002EFF" w:usb1="C000247B" w:usb2="00000009" w:usb3="00000000" w:csb0="000001FF" w:csb1="00000000"/>
    <w:embedRegular r:id="rId6" w:fontKey="{7D208AA5-61A8-453A-9BDE-4A2E0ADC9659}"/>
    <w:embedBold r:id="rId7" w:fontKey="{DE061433-22B4-4B23-8AAA-A000E3381F4E}"/>
    <w:embedItalic r:id="rId8" w:fontKey="{D3B7C5AD-0313-4043-BABB-B4160E5F14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EE8DF" w14:textId="77777777" w:rsidR="006A0CC3" w:rsidRDefault="00743C78">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A2242">
      <w:rPr>
        <w:noProof/>
        <w:color w:val="000000"/>
      </w:rPr>
      <w:t>2</w:t>
    </w:r>
    <w:r>
      <w:rPr>
        <w:color w:val="000000"/>
      </w:rPr>
      <w:fldChar w:fldCharType="end"/>
    </w:r>
  </w:p>
  <w:p w14:paraId="28087433" w14:textId="77777777" w:rsidR="006A0CC3" w:rsidRDefault="006A0CC3">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63A47" w14:textId="77777777" w:rsidR="006A0CC3" w:rsidRDefault="00743C78">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9A2242">
      <w:rPr>
        <w:noProof/>
        <w:color w:val="000000"/>
      </w:rPr>
      <w:t>1</w:t>
    </w:r>
    <w:r>
      <w:rPr>
        <w:color w:val="000000"/>
      </w:rPr>
      <w:fldChar w:fldCharType="end"/>
    </w:r>
  </w:p>
  <w:p w14:paraId="3F76769B" w14:textId="77777777" w:rsidR="006A0CC3" w:rsidRDefault="006A0CC3">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ACD93" w14:textId="77777777" w:rsidR="00743C78" w:rsidRDefault="00743C78">
      <w:pPr>
        <w:spacing w:line="240" w:lineRule="auto"/>
      </w:pPr>
      <w:r>
        <w:separator/>
      </w:r>
    </w:p>
  </w:footnote>
  <w:footnote w:type="continuationSeparator" w:id="0">
    <w:p w14:paraId="00DD4356" w14:textId="77777777" w:rsidR="00743C78" w:rsidRDefault="00743C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0003" w14:textId="77777777" w:rsidR="006A0CC3" w:rsidRDefault="00743C78">
    <w:pPr>
      <w:pBdr>
        <w:top w:val="nil"/>
        <w:left w:val="nil"/>
        <w:bottom w:val="nil"/>
        <w:right w:val="nil"/>
        <w:between w:val="nil"/>
      </w:pBdr>
      <w:tabs>
        <w:tab w:val="center" w:pos="4513"/>
        <w:tab w:val="right" w:pos="9026"/>
      </w:tabs>
      <w:spacing w:line="240" w:lineRule="auto"/>
      <w:rPr>
        <w:color w:val="000000"/>
      </w:rPr>
    </w:pPr>
    <w:r>
      <w:rPr>
        <w:noProof/>
        <w:color w:val="000000"/>
      </w:rPr>
      <w:drawing>
        <wp:inline distT="0" distB="0" distL="0" distR="0" wp14:anchorId="60A9F60A" wp14:editId="7350C2B5">
          <wp:extent cx="3069590" cy="818515"/>
          <wp:effectExtent l="0" t="0" r="0" b="0"/>
          <wp:docPr id="1031233642"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3E8C"/>
    <w:multiLevelType w:val="multilevel"/>
    <w:tmpl w:val="5DAAD7A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2325AC4"/>
    <w:multiLevelType w:val="multilevel"/>
    <w:tmpl w:val="DB282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D211BD"/>
    <w:multiLevelType w:val="multilevel"/>
    <w:tmpl w:val="79EA8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B57809"/>
    <w:multiLevelType w:val="multilevel"/>
    <w:tmpl w:val="63F89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2951E2"/>
    <w:multiLevelType w:val="multilevel"/>
    <w:tmpl w:val="138AE8C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0E713173"/>
    <w:multiLevelType w:val="multilevel"/>
    <w:tmpl w:val="832CA880"/>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13E86EAD"/>
    <w:multiLevelType w:val="multilevel"/>
    <w:tmpl w:val="8918E88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15:restartNumberingAfterBreak="0">
    <w:nsid w:val="1A821518"/>
    <w:multiLevelType w:val="multilevel"/>
    <w:tmpl w:val="D40A13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C104C0C"/>
    <w:multiLevelType w:val="multilevel"/>
    <w:tmpl w:val="42D8C9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43C480A"/>
    <w:multiLevelType w:val="multilevel"/>
    <w:tmpl w:val="F186434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24ED55C0"/>
    <w:multiLevelType w:val="multilevel"/>
    <w:tmpl w:val="BEA67F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512E55"/>
    <w:multiLevelType w:val="multilevel"/>
    <w:tmpl w:val="7166F59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360526F4"/>
    <w:multiLevelType w:val="multilevel"/>
    <w:tmpl w:val="4BC8CA5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9AB485E"/>
    <w:multiLevelType w:val="multilevel"/>
    <w:tmpl w:val="F5B6114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DE44E9A"/>
    <w:multiLevelType w:val="multilevel"/>
    <w:tmpl w:val="5C4C33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5E7A3819"/>
    <w:multiLevelType w:val="multilevel"/>
    <w:tmpl w:val="B726E0E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61B1156A"/>
    <w:multiLevelType w:val="multilevel"/>
    <w:tmpl w:val="73867B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7" w15:restartNumberingAfterBreak="0">
    <w:nsid w:val="6B502B18"/>
    <w:multiLevelType w:val="multilevel"/>
    <w:tmpl w:val="E3CCB3A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740817FB"/>
    <w:multiLevelType w:val="multilevel"/>
    <w:tmpl w:val="4D94AB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8B86E46"/>
    <w:multiLevelType w:val="multilevel"/>
    <w:tmpl w:val="819A7C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4614253">
    <w:abstractNumId w:val="6"/>
  </w:num>
  <w:num w:numId="2" w16cid:durableId="181165034">
    <w:abstractNumId w:val="7"/>
  </w:num>
  <w:num w:numId="3" w16cid:durableId="1593852922">
    <w:abstractNumId w:val="2"/>
  </w:num>
  <w:num w:numId="4" w16cid:durableId="539632477">
    <w:abstractNumId w:val="1"/>
  </w:num>
  <w:num w:numId="5" w16cid:durableId="1365405031">
    <w:abstractNumId w:val="10"/>
  </w:num>
  <w:num w:numId="6" w16cid:durableId="400063808">
    <w:abstractNumId w:val="18"/>
  </w:num>
  <w:num w:numId="7" w16cid:durableId="789084429">
    <w:abstractNumId w:val="8"/>
  </w:num>
  <w:num w:numId="8" w16cid:durableId="1931965159">
    <w:abstractNumId w:val="19"/>
  </w:num>
  <w:num w:numId="9" w16cid:durableId="585962295">
    <w:abstractNumId w:val="12"/>
  </w:num>
  <w:num w:numId="10" w16cid:durableId="524558149">
    <w:abstractNumId w:val="17"/>
  </w:num>
  <w:num w:numId="11" w16cid:durableId="1877113380">
    <w:abstractNumId w:val="9"/>
  </w:num>
  <w:num w:numId="12" w16cid:durableId="1143155719">
    <w:abstractNumId w:val="3"/>
  </w:num>
  <w:num w:numId="13" w16cid:durableId="493955289">
    <w:abstractNumId w:val="4"/>
  </w:num>
  <w:num w:numId="14" w16cid:durableId="2147358182">
    <w:abstractNumId w:val="13"/>
  </w:num>
  <w:num w:numId="15" w16cid:durableId="1248224740">
    <w:abstractNumId w:val="16"/>
  </w:num>
  <w:num w:numId="16" w16cid:durableId="945237561">
    <w:abstractNumId w:val="0"/>
  </w:num>
  <w:num w:numId="17" w16cid:durableId="97533518">
    <w:abstractNumId w:val="5"/>
  </w:num>
  <w:num w:numId="18" w16cid:durableId="2001035099">
    <w:abstractNumId w:val="14"/>
  </w:num>
  <w:num w:numId="19" w16cid:durableId="470102720">
    <w:abstractNumId w:val="11"/>
  </w:num>
  <w:num w:numId="20" w16cid:durableId="9293140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CC3"/>
    <w:rsid w:val="003F1E34"/>
    <w:rsid w:val="005F521E"/>
    <w:rsid w:val="006A0CC3"/>
    <w:rsid w:val="00743C78"/>
    <w:rsid w:val="008336EF"/>
    <w:rsid w:val="009A2242"/>
    <w:rsid w:val="00B80F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1FB7A"/>
  <w15:docId w15:val="{D8840764-DC13-409F-93B6-64A806B6E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6606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06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06D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606D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06D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06D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06D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06D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0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0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0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06D6"/>
    <w:rPr>
      <w:rFonts w:eastAsiaTheme="majorEastAsia" w:cstheme="majorBidi"/>
      <w:color w:val="272727" w:themeColor="text1" w:themeTint="D8"/>
    </w:rPr>
  </w:style>
  <w:style w:type="character" w:customStyle="1" w:styleId="TitleChar">
    <w:name w:val="Title Char"/>
    <w:basedOn w:val="DefaultParagraphFont"/>
    <w:link w:val="Title"/>
    <w:uiPriority w:val="10"/>
    <w:rsid w:val="006606D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60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06D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06D6"/>
    <w:rPr>
      <w:i/>
      <w:iCs/>
      <w:color w:val="404040" w:themeColor="text1" w:themeTint="BF"/>
    </w:rPr>
  </w:style>
  <w:style w:type="paragraph" w:styleId="ListParagraph">
    <w:name w:val="List Paragraph"/>
    <w:basedOn w:val="Normal"/>
    <w:uiPriority w:val="34"/>
    <w:qFormat/>
    <w:rsid w:val="006606D6"/>
    <w:pPr>
      <w:ind w:left="720"/>
      <w:contextualSpacing/>
    </w:pPr>
  </w:style>
  <w:style w:type="character" w:styleId="IntenseEmphasis">
    <w:name w:val="Intense Emphasis"/>
    <w:basedOn w:val="DefaultParagraphFont"/>
    <w:uiPriority w:val="21"/>
    <w:qFormat/>
    <w:rsid w:val="006606D6"/>
    <w:rPr>
      <w:i/>
      <w:iCs/>
      <w:color w:val="0F4761" w:themeColor="accent1" w:themeShade="BF"/>
    </w:rPr>
  </w:style>
  <w:style w:type="paragraph" w:styleId="IntenseQuote">
    <w:name w:val="Intense Quote"/>
    <w:basedOn w:val="Normal"/>
    <w:next w:val="Normal"/>
    <w:link w:val="IntenseQuoteChar"/>
    <w:uiPriority w:val="30"/>
    <w:qFormat/>
    <w:rsid w:val="006606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06D6"/>
    <w:rPr>
      <w:i/>
      <w:iCs/>
      <w:color w:val="0F4761" w:themeColor="accent1" w:themeShade="BF"/>
    </w:rPr>
  </w:style>
  <w:style w:type="character" w:styleId="IntenseReference">
    <w:name w:val="Intense Reference"/>
    <w:basedOn w:val="DefaultParagraphFont"/>
    <w:uiPriority w:val="32"/>
    <w:qFormat/>
    <w:rsid w:val="006606D6"/>
    <w:rPr>
      <w:b/>
      <w:bCs/>
      <w:smallCaps/>
      <w:color w:val="0F4761" w:themeColor="accent1" w:themeShade="BF"/>
      <w:spacing w:val="5"/>
    </w:rPr>
  </w:style>
  <w:style w:type="paragraph" w:styleId="CommentText">
    <w:name w:val="annotation text"/>
    <w:basedOn w:val="Normal"/>
    <w:link w:val="CommentTextChar"/>
    <w:uiPriority w:val="99"/>
    <w:unhideWhenUsed/>
    <w:rsid w:val="006606D6"/>
    <w:pPr>
      <w:spacing w:after="160" w:line="240" w:lineRule="auto"/>
    </w:pPr>
    <w:rPr>
      <w:rFonts w:ascii="Aptos" w:eastAsia="Aptos" w:hAnsi="Aptos" w:cs="Aptos"/>
      <w:sz w:val="20"/>
      <w:szCs w:val="20"/>
    </w:rPr>
  </w:style>
  <w:style w:type="character" w:customStyle="1" w:styleId="CommentTextChar">
    <w:name w:val="Comment Text Char"/>
    <w:basedOn w:val="DefaultParagraphFont"/>
    <w:link w:val="CommentText"/>
    <w:uiPriority w:val="99"/>
    <w:rsid w:val="006606D6"/>
    <w:rPr>
      <w:rFonts w:ascii="Aptos" w:eastAsia="Aptos" w:hAnsi="Aptos" w:cs="Aptos"/>
      <w:kern w:val="0"/>
      <w:sz w:val="20"/>
      <w:szCs w:val="20"/>
      <w:lang w:val="en"/>
    </w:rPr>
  </w:style>
  <w:style w:type="character" w:styleId="CommentReference">
    <w:name w:val="annotation reference"/>
    <w:basedOn w:val="DefaultParagraphFont"/>
    <w:uiPriority w:val="99"/>
    <w:semiHidden/>
    <w:unhideWhenUsed/>
    <w:rsid w:val="006606D6"/>
    <w:rPr>
      <w:sz w:val="16"/>
      <w:szCs w:val="16"/>
    </w:rPr>
  </w:style>
  <w:style w:type="table" w:styleId="TableGrid">
    <w:name w:val="Table Grid"/>
    <w:basedOn w:val="TableNormal"/>
    <w:uiPriority w:val="39"/>
    <w:rsid w:val="006606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606D6"/>
  </w:style>
  <w:style w:type="paragraph" w:styleId="Header">
    <w:name w:val="header"/>
    <w:basedOn w:val="Normal"/>
    <w:link w:val="HeaderChar"/>
    <w:uiPriority w:val="99"/>
    <w:unhideWhenUsed/>
    <w:rsid w:val="007C385E"/>
    <w:pPr>
      <w:tabs>
        <w:tab w:val="center" w:pos="4513"/>
        <w:tab w:val="right" w:pos="9026"/>
      </w:tabs>
      <w:spacing w:line="240" w:lineRule="auto"/>
    </w:pPr>
  </w:style>
  <w:style w:type="character" w:customStyle="1" w:styleId="HeaderChar">
    <w:name w:val="Header Char"/>
    <w:basedOn w:val="DefaultParagraphFont"/>
    <w:link w:val="Header"/>
    <w:uiPriority w:val="99"/>
    <w:rsid w:val="007C385E"/>
    <w:rPr>
      <w:rFonts w:ascii="Arial" w:eastAsia="Arial" w:hAnsi="Arial" w:cs="Arial"/>
      <w:kern w:val="0"/>
      <w:lang w:val="en" w:eastAsia="en-GB"/>
    </w:rPr>
  </w:style>
  <w:style w:type="paragraph" w:styleId="Footer">
    <w:name w:val="footer"/>
    <w:basedOn w:val="Normal"/>
    <w:link w:val="FooterChar"/>
    <w:uiPriority w:val="99"/>
    <w:unhideWhenUsed/>
    <w:rsid w:val="007C385E"/>
    <w:pPr>
      <w:tabs>
        <w:tab w:val="center" w:pos="4513"/>
        <w:tab w:val="right" w:pos="9026"/>
      </w:tabs>
      <w:spacing w:line="240" w:lineRule="auto"/>
    </w:pPr>
  </w:style>
  <w:style w:type="character" w:customStyle="1" w:styleId="FooterChar">
    <w:name w:val="Footer Char"/>
    <w:basedOn w:val="DefaultParagraphFont"/>
    <w:link w:val="Footer"/>
    <w:uiPriority w:val="99"/>
    <w:rsid w:val="007C385E"/>
    <w:rPr>
      <w:rFonts w:ascii="Arial" w:eastAsia="Arial" w:hAnsi="Arial" w:cs="Arial"/>
      <w:kern w:val="0"/>
      <w:lang w:val="en"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4C0C9F"/>
    <w:pPr>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4C0C9F"/>
    <w:rPr>
      <w:rFonts w:ascii="Aptos" w:eastAsia="Aptos" w:hAnsi="Aptos" w:cs="Aptos"/>
      <w:b/>
      <w:bCs/>
      <w:kern w:val="0"/>
      <w:sz w:val="20"/>
      <w:szCs w:val="20"/>
      <w:lang w:val="en"/>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D4CD8"/>
    <w:rPr>
      <w:color w:val="467886" w:themeColor="hyperlink"/>
      <w:u w:val="single"/>
    </w:rPr>
  </w:style>
  <w:style w:type="character" w:styleId="UnresolvedMention">
    <w:name w:val="Unresolved Mention"/>
    <w:basedOn w:val="DefaultParagraphFont"/>
    <w:uiPriority w:val="99"/>
    <w:semiHidden/>
    <w:unhideWhenUsed/>
    <w:rsid w:val="009D4CD8"/>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s1.fr/publication/document-dorientation-lagregation-logistique-chaine-dapprovisionnement-pharmaceuti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s1.org/industries/healthcare/standar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5JzTUOtQTTwizm5Md5Qt9/1DCg==">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4361</Words>
  <Characters>24073</Characters>
  <Application>Microsoft Office Word</Application>
  <DocSecurity>0</DocSecurity>
  <Lines>523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Seabright</dc:creator>
  <cp:lastModifiedBy>Viv Seabright</cp:lastModifiedBy>
  <cp:revision>2</cp:revision>
  <dcterms:created xsi:type="dcterms:W3CDTF">2026-01-21T14:30:00Z</dcterms:created>
  <dcterms:modified xsi:type="dcterms:W3CDTF">2026-01-21T14:30:00Z</dcterms:modified>
</cp:coreProperties>
</file>